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F5FD" w14:textId="1F4D2179" w:rsidR="004A2209" w:rsidRPr="00CD0E0B" w:rsidRDefault="0007469C">
      <w:pPr>
        <w:spacing w:line="276" w:lineRule="auto"/>
        <w:rPr>
          <w:lang w:val="it-IT"/>
        </w:rPr>
      </w:pPr>
      <w:r w:rsidRPr="00CD0E0B">
        <w:rPr>
          <w:lang w:val="it-IT"/>
        </w:rPr>
        <w:t>Entro i</w:t>
      </w:r>
      <w:r w:rsidR="00A9715A" w:rsidRPr="00CD0E0B">
        <w:rPr>
          <w:lang w:val="it-IT"/>
        </w:rPr>
        <w:t xml:space="preserve"> termini del 5 Luglio</w:t>
      </w:r>
      <w:r w:rsidR="009D460E" w:rsidRPr="00CD0E0B">
        <w:rPr>
          <w:lang w:val="it-IT"/>
        </w:rPr>
        <w:t xml:space="preserve"> sono state presentate, a firma di associazioni e comitati , le  Osservazioni alla Proposta di Carta Nazionale Aree Potenzialmente Idonee (CNAPI) ai sensi del </w:t>
      </w:r>
      <w:proofErr w:type="spellStart"/>
      <w:r w:rsidR="009D460E" w:rsidRPr="00CD0E0B">
        <w:rPr>
          <w:lang w:val="it-IT"/>
        </w:rPr>
        <w:t>D.Lgs.</w:t>
      </w:r>
      <w:proofErr w:type="spellEnd"/>
      <w:r w:rsidR="009D460E" w:rsidRPr="00CD0E0B">
        <w:rPr>
          <w:lang w:val="it-IT"/>
        </w:rPr>
        <w:t xml:space="preserve"> 31/2020, in riferimento alla “Consultazione pubblica per l'avvio della procedura per la localizzazione, costruzione ed esercizio del Deposito Nazionale dei rifiuti radioattivi e Parco Tecnologico”.</w:t>
      </w:r>
    </w:p>
    <w:p w14:paraId="3E53EF9C" w14:textId="268C3B17" w:rsidR="004A2209" w:rsidRPr="00CD0E0B" w:rsidRDefault="009D460E">
      <w:pPr>
        <w:spacing w:line="276" w:lineRule="auto"/>
        <w:rPr>
          <w:lang w:val="it-IT"/>
        </w:rPr>
      </w:pPr>
      <w:r w:rsidRPr="00CD0E0B">
        <w:rPr>
          <w:lang w:val="it-IT"/>
        </w:rPr>
        <w:tab/>
        <w:t>Nel Deposito Nazionale</w:t>
      </w:r>
      <w:r w:rsidR="00A9715A" w:rsidRPr="00CD0E0B">
        <w:rPr>
          <w:lang w:val="it-IT"/>
        </w:rPr>
        <w:t>, secondo Il decreto legislativo n. 31 del 2010,</w:t>
      </w:r>
      <w:r w:rsidRPr="00CD0E0B">
        <w:rPr>
          <w:lang w:val="it-IT"/>
        </w:rPr>
        <w:t xml:space="preserve"> saranno sistemati definitivamente e in sicurezza circa 78.000 metri cubi di rifiuti radioattivi a molto bassa e bassa attività, la cui radioattività decadrà a valori trascurabili, nell’arco di 300 anni. Di questi rifiuti, circa 50.000 metri cubi derivano dall’esercizio e dallo smantellamento degli impianti nucleari per la produzione di energia elettrica, circa 28.000 metri cubi dagli impianti nucleari di ricerca e dai settori della medicina nucleare e dell’industria. Il quantitativo complessivo dei rifiuti è composto in particolare da:</w:t>
      </w:r>
    </w:p>
    <w:p w14:paraId="351C0186" w14:textId="77777777" w:rsidR="004A2209" w:rsidRPr="00CD0E0B" w:rsidRDefault="009D460E">
      <w:pPr>
        <w:spacing w:after="46" w:line="240" w:lineRule="auto"/>
        <w:rPr>
          <w:lang w:val="it-IT"/>
        </w:rPr>
      </w:pPr>
      <w:r w:rsidRPr="00CD0E0B">
        <w:rPr>
          <w:lang w:val="it-IT"/>
        </w:rPr>
        <w:t>- rifiuti derivanti dall’esercizio e dal decommissioning delle centrali ex Enel e degli</w:t>
      </w:r>
    </w:p>
    <w:p w14:paraId="0E7340F5" w14:textId="77777777" w:rsidR="004A2209" w:rsidRPr="00CD0E0B" w:rsidRDefault="009D460E">
      <w:pPr>
        <w:spacing w:after="46" w:line="240" w:lineRule="auto"/>
        <w:rPr>
          <w:lang w:val="it-IT"/>
        </w:rPr>
      </w:pPr>
      <w:r w:rsidRPr="00CD0E0B">
        <w:rPr>
          <w:lang w:val="it-IT"/>
        </w:rPr>
        <w:t>impianti del ciclo del combustibile ex Enea – rifiuti derivanti da attività medico</w:t>
      </w:r>
    </w:p>
    <w:p w14:paraId="018EB6B8" w14:textId="2F319A56" w:rsidR="004A2209" w:rsidRPr="00CD0E0B" w:rsidRDefault="009D460E">
      <w:pPr>
        <w:spacing w:after="103"/>
        <w:rPr>
          <w:lang w:val="it-IT"/>
        </w:rPr>
      </w:pPr>
      <w:r w:rsidRPr="00CD0E0B">
        <w:rPr>
          <w:lang w:val="it-IT"/>
        </w:rPr>
        <w:t>sanitarie, industriali e di ricerca (esistenti e futuri afferenti al cosiddetto “Servizio</w:t>
      </w:r>
      <w:r w:rsidR="0007469C" w:rsidRPr="00CD0E0B">
        <w:rPr>
          <w:lang w:val="it-IT"/>
        </w:rPr>
        <w:t xml:space="preserve"> </w:t>
      </w:r>
      <w:r w:rsidRPr="00CD0E0B">
        <w:rPr>
          <w:lang w:val="it-IT"/>
        </w:rPr>
        <w:t>Integrato”);</w:t>
      </w:r>
    </w:p>
    <w:p w14:paraId="5460DA40" w14:textId="139731FB" w:rsidR="004A2209" w:rsidRPr="00CD0E0B" w:rsidRDefault="009D460E">
      <w:pPr>
        <w:spacing w:after="103"/>
        <w:rPr>
          <w:lang w:val="it-IT"/>
        </w:rPr>
      </w:pPr>
      <w:r w:rsidRPr="00CD0E0B">
        <w:rPr>
          <w:lang w:val="it-IT"/>
        </w:rPr>
        <w:t>- rifiuti derivanti dall’esercizio e dal decommissioning delle installazioni nucleari del</w:t>
      </w:r>
      <w:r w:rsidR="0007469C" w:rsidRPr="00CD0E0B">
        <w:rPr>
          <w:lang w:val="it-IT"/>
        </w:rPr>
        <w:t xml:space="preserve"> </w:t>
      </w:r>
      <w:r w:rsidRPr="00CD0E0B">
        <w:rPr>
          <w:lang w:val="it-IT"/>
        </w:rPr>
        <w:t>Centro Comune di Ricerca di ISPRA;</w:t>
      </w:r>
    </w:p>
    <w:p w14:paraId="31D46EAB" w14:textId="04522C85" w:rsidR="004A2209" w:rsidRPr="00CD0E0B" w:rsidRDefault="009D460E">
      <w:pPr>
        <w:spacing w:after="103"/>
        <w:rPr>
          <w:lang w:val="it-IT"/>
        </w:rPr>
      </w:pPr>
      <w:r w:rsidRPr="00CD0E0B">
        <w:rPr>
          <w:lang w:val="it-IT"/>
        </w:rPr>
        <w:t>- rifiuti dall’esercizio e dal decommissioning di reattori di ricerca ed altre installazioni</w:t>
      </w:r>
      <w:r w:rsidR="0007469C" w:rsidRPr="00CD0E0B">
        <w:rPr>
          <w:lang w:val="it-IT"/>
        </w:rPr>
        <w:t xml:space="preserve"> </w:t>
      </w:r>
      <w:r w:rsidRPr="00CD0E0B">
        <w:rPr>
          <w:lang w:val="it-IT"/>
        </w:rPr>
        <w:t>nucleari non facenti capo al Servizio Integrato.</w:t>
      </w:r>
    </w:p>
    <w:p w14:paraId="3DA6756E" w14:textId="77777777" w:rsidR="004A2209" w:rsidRPr="00CD0E0B" w:rsidRDefault="009D460E">
      <w:pPr>
        <w:spacing w:after="103"/>
        <w:rPr>
          <w:lang w:val="it-IT"/>
        </w:rPr>
      </w:pPr>
      <w:r w:rsidRPr="00CD0E0B">
        <w:rPr>
          <w:lang w:val="it-IT"/>
        </w:rPr>
        <w:tab/>
        <w:t>Stiamo parlando di un deposito nucleare nazionale da cui non si potrà più sfuggire per generazioni, un deposito la cui individuazione ha lasciato i cittadini fuori dalle scelte, cittadini che si sono espressi chiaramente attraverso ben due referendum sul rifiuto al nucleare in Italia e che invece ora si trovano a pagarne le conseguenze. Della preoccupante situazione, altra cosa gravissima, non tutti sono a conoscenza, perché poco è stato detto e spiegato.</w:t>
      </w:r>
    </w:p>
    <w:p w14:paraId="35F3D899" w14:textId="67FFBFAB" w:rsidR="004A2209" w:rsidRPr="00CD0E0B" w:rsidRDefault="009D460E">
      <w:pPr>
        <w:spacing w:after="103" w:line="276" w:lineRule="auto"/>
        <w:rPr>
          <w:lang w:val="it-IT"/>
        </w:rPr>
      </w:pPr>
      <w:r w:rsidRPr="00CD0E0B">
        <w:rPr>
          <w:lang w:val="it-IT"/>
        </w:rPr>
        <w:tab/>
        <w:t xml:space="preserve">Le nostre osservazioni hanno trattato solamente della parte appartenente al Comune di Tarquinia ed interamente corrispondente al territorio della </w:t>
      </w:r>
      <w:proofErr w:type="spellStart"/>
      <w:r w:rsidRPr="00CD0E0B">
        <w:rPr>
          <w:lang w:val="it-IT"/>
        </w:rPr>
        <w:t>Roccaccia</w:t>
      </w:r>
      <w:proofErr w:type="spellEnd"/>
      <w:r w:rsidRPr="00CD0E0B">
        <w:rPr>
          <w:lang w:val="it-IT"/>
        </w:rPr>
        <w:t>, che in parte è di proprietà dell’Università Agraria di Tarquinia</w:t>
      </w:r>
      <w:r w:rsidR="0007469C" w:rsidRPr="00CD0E0B">
        <w:rPr>
          <w:lang w:val="it-IT"/>
        </w:rPr>
        <w:t>, l’ente pubblico di usi civici</w:t>
      </w:r>
      <w:r w:rsidRPr="00CD0E0B">
        <w:rPr>
          <w:lang w:val="it-IT"/>
        </w:rPr>
        <w:t>.</w:t>
      </w:r>
    </w:p>
    <w:p w14:paraId="59DF1A78" w14:textId="04C9496C" w:rsidR="004A2209" w:rsidRPr="00CD0E0B" w:rsidRDefault="009D460E">
      <w:pPr>
        <w:spacing w:after="103"/>
        <w:rPr>
          <w:lang w:val="it-IT"/>
        </w:rPr>
      </w:pPr>
      <w:r w:rsidRPr="00CD0E0B">
        <w:rPr>
          <w:lang w:val="it-IT"/>
        </w:rPr>
        <w:tab/>
        <w:t>L’area individuata come VT-25 è posizionata a cavallo della SP dogana e taglia quasi</w:t>
      </w:r>
      <w:r w:rsidR="0007469C" w:rsidRPr="00CD0E0B">
        <w:rPr>
          <w:lang w:val="it-IT"/>
        </w:rPr>
        <w:t xml:space="preserve"> </w:t>
      </w:r>
      <w:r w:rsidRPr="00CD0E0B">
        <w:rPr>
          <w:lang w:val="it-IT"/>
        </w:rPr>
        <w:t>perfettamente a metà la superficie totale dell’area di (ha) 361, ricadenti tra il Comune di</w:t>
      </w:r>
      <w:r w:rsidR="0007469C" w:rsidRPr="00CD0E0B">
        <w:rPr>
          <w:lang w:val="it-IT"/>
        </w:rPr>
        <w:t xml:space="preserve"> </w:t>
      </w:r>
      <w:r w:rsidRPr="00CD0E0B">
        <w:rPr>
          <w:lang w:val="it-IT"/>
        </w:rPr>
        <w:t xml:space="preserve">Tarquinia e quello di Tuscania, distante 9 km dal nucleo abitativo di Tarquinia, 13 Km da quello di Monte Romano e 10 km dalla Località marittima </w:t>
      </w:r>
      <w:proofErr w:type="spellStart"/>
      <w:r w:rsidRPr="00CD0E0B">
        <w:rPr>
          <w:lang w:val="it-IT"/>
        </w:rPr>
        <w:t>Spinicci</w:t>
      </w:r>
      <w:proofErr w:type="spellEnd"/>
      <w:r w:rsidRPr="00CD0E0B">
        <w:rPr>
          <w:lang w:val="it-IT"/>
        </w:rPr>
        <w:t xml:space="preserve"> (Tarquinia).  </w:t>
      </w:r>
    </w:p>
    <w:p w14:paraId="5F0757EA" w14:textId="77777777" w:rsidR="004A2209" w:rsidRPr="00CD0E0B" w:rsidRDefault="009D460E">
      <w:pPr>
        <w:spacing w:after="103"/>
        <w:rPr>
          <w:lang w:val="it-IT"/>
        </w:rPr>
      </w:pPr>
      <w:r w:rsidRPr="00CD0E0B">
        <w:rPr>
          <w:lang w:val="it-IT"/>
        </w:rPr>
        <w:t>Nella Relazione Tecnica “Inquadramento geologico, naturalistico e antropico dell’area VT-25” (elaborato DN GS 00127) si parla delle particolarità generali dell’area “</w:t>
      </w:r>
      <w:r w:rsidRPr="00CD0E0B">
        <w:rPr>
          <w:i/>
          <w:iCs/>
          <w:lang w:val="it-IT"/>
        </w:rPr>
        <w:t xml:space="preserve">caratterizzata dalla presenza di aree naturali, definite da boschi cedui, e di aree agricole prevalentemente a seminativo, intervallati da prati stabili con pascolo a prevalenza ovino e bovino. </w:t>
      </w:r>
    </w:p>
    <w:p w14:paraId="37C4A28C" w14:textId="77777777" w:rsidR="004A2209" w:rsidRPr="00CD0E0B" w:rsidRDefault="009D460E">
      <w:pPr>
        <w:spacing w:after="103" w:line="276" w:lineRule="auto"/>
        <w:rPr>
          <w:lang w:val="it-IT"/>
        </w:rPr>
      </w:pPr>
      <w:r w:rsidRPr="00CD0E0B">
        <w:rPr>
          <w:i/>
          <w:iCs/>
          <w:lang w:val="it-IT"/>
        </w:rPr>
        <w:t>Nell’intorno dell’area è presente la Riserva naturale di Tuscania, a circa 7,0 km di distanza e i seguenti siti Natura 2000:</w:t>
      </w:r>
    </w:p>
    <w:p w14:paraId="0D9C95FA" w14:textId="77777777" w:rsidR="004A2209" w:rsidRPr="00CD0E0B" w:rsidRDefault="009D460E">
      <w:pPr>
        <w:spacing w:after="103"/>
        <w:rPr>
          <w:lang w:val="it-IT"/>
        </w:rPr>
      </w:pPr>
      <w:r w:rsidRPr="00CD0E0B">
        <w:rPr>
          <w:i/>
          <w:iCs/>
          <w:lang w:val="it-IT"/>
        </w:rPr>
        <w:t>- ZPS IT6010058 “Monte Romano” distante circa 6,7 km;</w:t>
      </w:r>
    </w:p>
    <w:p w14:paraId="4B324560" w14:textId="77777777" w:rsidR="004A2209" w:rsidRPr="00CD0E0B" w:rsidRDefault="009D460E">
      <w:pPr>
        <w:spacing w:after="103"/>
        <w:rPr>
          <w:lang w:val="it-IT"/>
        </w:rPr>
      </w:pPr>
      <w:r w:rsidRPr="00CD0E0B">
        <w:rPr>
          <w:i/>
          <w:iCs/>
          <w:lang w:val="it-IT"/>
        </w:rPr>
        <w:t>- ZSC IT6010021 “Monte Romano” distante circa 7,0 km;</w:t>
      </w:r>
    </w:p>
    <w:p w14:paraId="629C5E7F" w14:textId="77777777" w:rsidR="004A2209" w:rsidRPr="00CD0E0B" w:rsidRDefault="009D460E">
      <w:pPr>
        <w:rPr>
          <w:lang w:val="it-IT"/>
        </w:rPr>
      </w:pPr>
      <w:r w:rsidRPr="00CD0E0B">
        <w:rPr>
          <w:i/>
          <w:iCs/>
          <w:lang w:val="it-IT"/>
        </w:rPr>
        <w:t>- ZSC IT6010020 “Fiume Marta (alto corso)” a circa 7,6 km;</w:t>
      </w:r>
    </w:p>
    <w:p w14:paraId="23E21A2F" w14:textId="77777777" w:rsidR="004A2209" w:rsidRPr="00CD0E0B" w:rsidRDefault="009D460E">
      <w:pPr>
        <w:spacing w:after="103"/>
        <w:rPr>
          <w:lang w:val="it-IT"/>
        </w:rPr>
      </w:pPr>
      <w:r w:rsidRPr="00CD0E0B">
        <w:rPr>
          <w:i/>
          <w:iCs/>
          <w:lang w:val="it-IT"/>
        </w:rPr>
        <w:t>- ZSC IT6010040 “</w:t>
      </w:r>
      <w:proofErr w:type="spellStart"/>
      <w:r w:rsidRPr="00CD0E0B">
        <w:rPr>
          <w:i/>
          <w:iCs/>
          <w:lang w:val="it-IT"/>
        </w:rPr>
        <w:t>Monterozzi</w:t>
      </w:r>
      <w:proofErr w:type="spellEnd"/>
      <w:r w:rsidRPr="00CD0E0B">
        <w:rPr>
          <w:i/>
          <w:iCs/>
          <w:lang w:val="it-IT"/>
        </w:rPr>
        <w:t>”, a circa 9 km di distanza”.</w:t>
      </w:r>
    </w:p>
    <w:p w14:paraId="13FED678" w14:textId="479FEB84" w:rsidR="004A2209" w:rsidRPr="00CD0E0B" w:rsidRDefault="009D460E">
      <w:pPr>
        <w:spacing w:after="103"/>
        <w:rPr>
          <w:lang w:val="it-IT"/>
        </w:rPr>
      </w:pPr>
      <w:r w:rsidRPr="00CD0E0B">
        <w:rPr>
          <w:lang w:val="it-IT"/>
        </w:rPr>
        <w:lastRenderedPageBreak/>
        <w:tab/>
        <w:t>Nonostante l’importanza naturalistica dell’area, valorizzata anche dagli usi civici delle</w:t>
      </w:r>
      <w:r w:rsidR="0007469C" w:rsidRPr="00CD0E0B">
        <w:rPr>
          <w:lang w:val="it-IT"/>
        </w:rPr>
        <w:t xml:space="preserve"> </w:t>
      </w:r>
      <w:r w:rsidRPr="00CD0E0B">
        <w:rPr>
          <w:lang w:val="it-IT"/>
        </w:rPr>
        <w:t>terre dell’Università Agraria che ne hanno garantito la naturalità, tutte le presenze di</w:t>
      </w:r>
      <w:r w:rsidR="0007469C" w:rsidRPr="00CD0E0B">
        <w:rPr>
          <w:lang w:val="it-IT"/>
        </w:rPr>
        <w:t xml:space="preserve"> </w:t>
      </w:r>
      <w:r w:rsidRPr="00CD0E0B">
        <w:rPr>
          <w:lang w:val="it-IT"/>
        </w:rPr>
        <w:t>Habitat vengono sottostimate con la dichiarazione</w:t>
      </w:r>
      <w:r w:rsidR="0007469C" w:rsidRPr="00CD0E0B">
        <w:rPr>
          <w:lang w:val="it-IT"/>
        </w:rPr>
        <w:t xml:space="preserve"> che, </w:t>
      </w:r>
      <w:r w:rsidRPr="00CD0E0B">
        <w:rPr>
          <w:lang w:val="it-IT"/>
        </w:rPr>
        <w:t>“Sulla base dei sopralluoghi effettuati</w:t>
      </w:r>
      <w:r w:rsidR="0007469C" w:rsidRPr="00CD0E0B">
        <w:rPr>
          <w:lang w:val="it-IT"/>
        </w:rPr>
        <w:t xml:space="preserve"> </w:t>
      </w:r>
      <w:r w:rsidRPr="00CD0E0B">
        <w:rPr>
          <w:lang w:val="it-IT"/>
        </w:rPr>
        <w:t>non sono stati rilevati habitat di Direttiva 92/43/CEE”.</w:t>
      </w:r>
    </w:p>
    <w:p w14:paraId="221B8F1E" w14:textId="6AC0E011" w:rsidR="004A2209" w:rsidRPr="00CD0E0B" w:rsidRDefault="009D460E">
      <w:pPr>
        <w:spacing w:after="103"/>
        <w:rPr>
          <w:lang w:val="it-IT"/>
        </w:rPr>
      </w:pPr>
      <w:r w:rsidRPr="00CD0E0B">
        <w:rPr>
          <w:lang w:val="it-IT"/>
        </w:rPr>
        <w:t xml:space="preserve">È segnalata soltanto la potenziale presenza dell’habitat 6220* “Percorsi </w:t>
      </w:r>
      <w:proofErr w:type="spellStart"/>
      <w:r w:rsidRPr="00CD0E0B">
        <w:rPr>
          <w:lang w:val="it-IT"/>
        </w:rPr>
        <w:t>substeppici</w:t>
      </w:r>
      <w:proofErr w:type="spellEnd"/>
      <w:r w:rsidRPr="00CD0E0B">
        <w:rPr>
          <w:lang w:val="it-IT"/>
        </w:rPr>
        <w:t xml:space="preserve"> di</w:t>
      </w:r>
      <w:r w:rsidR="0007469C" w:rsidRPr="00CD0E0B">
        <w:rPr>
          <w:lang w:val="it-IT"/>
        </w:rPr>
        <w:t xml:space="preserve"> </w:t>
      </w:r>
      <w:r w:rsidRPr="00CD0E0B">
        <w:rPr>
          <w:lang w:val="it-IT"/>
        </w:rPr>
        <w:t xml:space="preserve">graminacee e piante annue dei </w:t>
      </w:r>
      <w:proofErr w:type="spellStart"/>
      <w:r w:rsidRPr="00CD0E0B">
        <w:rPr>
          <w:lang w:val="it-IT"/>
        </w:rPr>
        <w:t>Thero-Brachypodietea</w:t>
      </w:r>
      <w:proofErr w:type="spellEnd"/>
      <w:r w:rsidRPr="00CD0E0B">
        <w:rPr>
          <w:lang w:val="it-IT"/>
        </w:rPr>
        <w:t>”, in corrispondenza degli spazi</w:t>
      </w:r>
      <w:r w:rsidR="0007469C" w:rsidRPr="00CD0E0B">
        <w:rPr>
          <w:lang w:val="it-IT"/>
        </w:rPr>
        <w:t xml:space="preserve"> </w:t>
      </w:r>
      <w:r w:rsidRPr="00CD0E0B">
        <w:rPr>
          <w:lang w:val="it-IT"/>
        </w:rPr>
        <w:t>aperti presenti tra le fasce boscate del settore orientale ed è menzionata la potenziale</w:t>
      </w:r>
      <w:r w:rsidR="0007469C" w:rsidRPr="00CD0E0B">
        <w:rPr>
          <w:lang w:val="it-IT"/>
        </w:rPr>
        <w:t xml:space="preserve"> </w:t>
      </w:r>
      <w:r w:rsidRPr="00CD0E0B">
        <w:rPr>
          <w:lang w:val="it-IT"/>
        </w:rPr>
        <w:t xml:space="preserve">presenza della specie vegetale </w:t>
      </w:r>
      <w:proofErr w:type="spellStart"/>
      <w:r w:rsidRPr="00CD0E0B">
        <w:rPr>
          <w:lang w:val="it-IT"/>
        </w:rPr>
        <w:t>Ruscus</w:t>
      </w:r>
      <w:proofErr w:type="spellEnd"/>
      <w:r w:rsidRPr="00CD0E0B">
        <w:rPr>
          <w:lang w:val="it-IT"/>
        </w:rPr>
        <w:t xml:space="preserve"> </w:t>
      </w:r>
      <w:proofErr w:type="spellStart"/>
      <w:r w:rsidRPr="00CD0E0B">
        <w:rPr>
          <w:lang w:val="it-IT"/>
        </w:rPr>
        <w:t>aculeatus</w:t>
      </w:r>
      <w:proofErr w:type="spellEnd"/>
      <w:r w:rsidRPr="00CD0E0B">
        <w:rPr>
          <w:lang w:val="it-IT"/>
        </w:rPr>
        <w:t>, volgarmente Pungitopo, come</w:t>
      </w:r>
      <w:r w:rsidR="0007469C" w:rsidRPr="00CD0E0B">
        <w:rPr>
          <w:lang w:val="it-IT"/>
        </w:rPr>
        <w:t xml:space="preserve"> </w:t>
      </w:r>
      <w:r w:rsidRPr="00CD0E0B">
        <w:rPr>
          <w:lang w:val="it-IT"/>
        </w:rPr>
        <w:t>riportata dalla Tabella 3.2.1 della Relazione Tecnica. Per giustificare tali mancanze, la</w:t>
      </w:r>
      <w:r w:rsidR="0007469C" w:rsidRPr="00CD0E0B">
        <w:rPr>
          <w:lang w:val="it-IT"/>
        </w:rPr>
        <w:t xml:space="preserve"> </w:t>
      </w:r>
      <w:r w:rsidRPr="00CD0E0B">
        <w:rPr>
          <w:lang w:val="it-IT"/>
        </w:rPr>
        <w:t>Società conferma che si tratta di un vaglio preliminare e che solo accedendo alle fasi di</w:t>
      </w:r>
      <w:r w:rsidR="0007469C" w:rsidRPr="00CD0E0B">
        <w:rPr>
          <w:lang w:val="it-IT"/>
        </w:rPr>
        <w:t xml:space="preserve"> </w:t>
      </w:r>
      <w:r w:rsidRPr="00CD0E0B">
        <w:rPr>
          <w:lang w:val="it-IT"/>
        </w:rPr>
        <w:t>controllo successive si potrà effettivamente constatare la presenza di habitat protetti</w:t>
      </w:r>
      <w:r w:rsidR="0007469C" w:rsidRPr="00CD0E0B">
        <w:rPr>
          <w:lang w:val="it-IT"/>
        </w:rPr>
        <w:t xml:space="preserve"> </w:t>
      </w:r>
      <w:r w:rsidRPr="00CD0E0B">
        <w:rPr>
          <w:lang w:val="it-IT"/>
        </w:rPr>
        <w:t>nell’area.</w:t>
      </w:r>
    </w:p>
    <w:p w14:paraId="164E3436" w14:textId="66B3BF79" w:rsidR="004A2209" w:rsidRPr="00CD0E0B" w:rsidRDefault="009D460E">
      <w:pPr>
        <w:spacing w:after="103" w:line="360" w:lineRule="auto"/>
        <w:rPr>
          <w:lang w:val="it-IT"/>
        </w:rPr>
      </w:pPr>
      <w:r w:rsidRPr="00CD0E0B">
        <w:rPr>
          <w:lang w:val="it-IT"/>
        </w:rPr>
        <w:t>Ma allora che validità può avere l’affermazione: “Sulla base dei sopralluoghi effettuati non sono stati</w:t>
      </w:r>
      <w:r w:rsidR="00A9715A" w:rsidRPr="00CD0E0B">
        <w:rPr>
          <w:lang w:val="it-IT"/>
        </w:rPr>
        <w:t xml:space="preserve"> </w:t>
      </w:r>
      <w:r w:rsidRPr="00CD0E0B">
        <w:rPr>
          <w:lang w:val="it-IT"/>
        </w:rPr>
        <w:t>rilevati habitat d</w:t>
      </w:r>
      <w:r w:rsidR="00CD0E0B" w:rsidRPr="00CD0E0B">
        <w:rPr>
          <w:lang w:val="it-IT"/>
        </w:rPr>
        <w:t xml:space="preserve">ella </w:t>
      </w:r>
      <w:r w:rsidRPr="00CD0E0B">
        <w:rPr>
          <w:lang w:val="it-IT"/>
        </w:rPr>
        <w:t>Direttiva 92/43/CEE” se non esistono controlli validi per formulare una tale conclusione?</w:t>
      </w:r>
    </w:p>
    <w:p w14:paraId="43910522" w14:textId="3DB7100D" w:rsidR="004A2209" w:rsidRPr="00CD0E0B" w:rsidRDefault="009D460E">
      <w:pPr>
        <w:spacing w:after="103"/>
        <w:rPr>
          <w:lang w:val="it-IT"/>
        </w:rPr>
      </w:pPr>
      <w:r w:rsidRPr="00CD0E0B">
        <w:rPr>
          <w:lang w:val="it-IT"/>
        </w:rPr>
        <w:tab/>
        <w:t>Stessa analisi incompleta emerge nei capitoli 3.2 e 3.3 della Relazione Tecnica in cui</w:t>
      </w:r>
      <w:r w:rsidR="0007469C" w:rsidRPr="00CD0E0B">
        <w:rPr>
          <w:lang w:val="it-IT"/>
        </w:rPr>
        <w:t xml:space="preserve"> </w:t>
      </w:r>
      <w:r w:rsidRPr="00CD0E0B">
        <w:rPr>
          <w:lang w:val="it-IT"/>
        </w:rPr>
        <w:t>la Società riporta gli elenchi delle specie animali di Direttiva 92/43/CEE e delle specie di</w:t>
      </w:r>
      <w:r w:rsidR="0007469C" w:rsidRPr="00CD0E0B">
        <w:rPr>
          <w:lang w:val="it-IT"/>
        </w:rPr>
        <w:t xml:space="preserve"> </w:t>
      </w:r>
      <w:r w:rsidRPr="00CD0E0B">
        <w:rPr>
          <w:lang w:val="it-IT"/>
        </w:rPr>
        <w:t>Uccelli di Direttiva 2009/147/CEE o di interesse conservazionistico potenzialmente presenti</w:t>
      </w:r>
      <w:r w:rsidR="0007469C" w:rsidRPr="00CD0E0B">
        <w:rPr>
          <w:lang w:val="it-IT"/>
        </w:rPr>
        <w:t xml:space="preserve"> </w:t>
      </w:r>
      <w:r w:rsidRPr="00CD0E0B">
        <w:rPr>
          <w:lang w:val="it-IT"/>
        </w:rPr>
        <w:t xml:space="preserve">nell’area. </w:t>
      </w:r>
    </w:p>
    <w:p w14:paraId="74BF4D33" w14:textId="6AE42FB3" w:rsidR="004A2209" w:rsidRPr="00CD0E0B" w:rsidRDefault="009D460E">
      <w:pPr>
        <w:spacing w:after="103" w:line="360" w:lineRule="auto"/>
        <w:rPr>
          <w:lang w:val="it-IT"/>
        </w:rPr>
      </w:pPr>
      <w:r w:rsidRPr="00CD0E0B">
        <w:rPr>
          <w:lang w:val="it-IT"/>
        </w:rPr>
        <w:tab/>
        <w:t>Tali conclusioni non possono risultare esaustive dal momento che ad esempio l’intero studio</w:t>
      </w:r>
      <w:r w:rsidR="0007469C" w:rsidRPr="00CD0E0B">
        <w:rPr>
          <w:lang w:val="it-IT"/>
        </w:rPr>
        <w:t xml:space="preserve"> </w:t>
      </w:r>
      <w:r w:rsidRPr="00CD0E0B">
        <w:rPr>
          <w:lang w:val="it-IT"/>
        </w:rPr>
        <w:t>degli habitat, a detta della stessa Società, “si è basato principalmente sulle informazioni disponibili in</w:t>
      </w:r>
      <w:r w:rsidR="0007469C" w:rsidRPr="00CD0E0B">
        <w:rPr>
          <w:lang w:val="it-IT"/>
        </w:rPr>
        <w:t xml:space="preserve"> </w:t>
      </w:r>
      <w:r w:rsidRPr="00CD0E0B">
        <w:rPr>
          <w:lang w:val="it-IT"/>
        </w:rPr>
        <w:t>bibliografia e banche dati ufficiali presenti sul sito EIONET” e che lo studio delle specie vegetali,</w:t>
      </w:r>
      <w:r w:rsidR="0007469C" w:rsidRPr="00CD0E0B">
        <w:rPr>
          <w:lang w:val="it-IT"/>
        </w:rPr>
        <w:t xml:space="preserve"> </w:t>
      </w:r>
      <w:r w:rsidRPr="00CD0E0B">
        <w:rPr>
          <w:lang w:val="it-IT"/>
        </w:rPr>
        <w:t>animali e di uccelli protetti sia stato elaborato anche attraverso sopralluoghi in situ di cui tuttavia</w:t>
      </w:r>
      <w:r w:rsidR="0007469C" w:rsidRPr="00CD0E0B">
        <w:rPr>
          <w:lang w:val="it-IT"/>
        </w:rPr>
        <w:t xml:space="preserve"> </w:t>
      </w:r>
      <w:r w:rsidRPr="00CD0E0B">
        <w:rPr>
          <w:lang w:val="it-IT"/>
        </w:rPr>
        <w:t>la Società non riporta alcun dato.</w:t>
      </w:r>
    </w:p>
    <w:p w14:paraId="6A019D0E" w14:textId="559EA3E8" w:rsidR="004A2209" w:rsidRPr="00CD0E0B" w:rsidRDefault="009D460E">
      <w:pPr>
        <w:spacing w:after="103" w:line="360" w:lineRule="auto"/>
        <w:rPr>
          <w:lang w:val="it-IT"/>
        </w:rPr>
      </w:pPr>
      <w:r w:rsidRPr="00CD0E0B">
        <w:rPr>
          <w:lang w:val="it-IT"/>
        </w:rPr>
        <w:tab/>
        <w:t>Quel che preme sottolineare è che l’esposizione di tutte le potenziali specie protette</w:t>
      </w:r>
      <w:r w:rsidR="0007469C" w:rsidRPr="00CD0E0B">
        <w:rPr>
          <w:lang w:val="it-IT"/>
        </w:rPr>
        <w:t xml:space="preserve"> </w:t>
      </w:r>
      <w:r w:rsidRPr="00CD0E0B">
        <w:rPr>
          <w:lang w:val="it-IT"/>
        </w:rPr>
        <w:t>presenti nell’area, riportata dalla Società, in realtà rappresenta una semplice elencazione che ha il limite di essere il risultato di consultazioni bibliografiche e di sopralluoghi effettuati in un limitato e remoto arco di tempo (autunno 2014) ed omette di menzionare chi si è occupato di svolgere i sopralluoghi ed il metodo utilizzato per compierli.</w:t>
      </w:r>
    </w:p>
    <w:p w14:paraId="5AF301EB" w14:textId="77777777" w:rsidR="004A2209" w:rsidRPr="00CD0E0B" w:rsidRDefault="009D460E">
      <w:pPr>
        <w:spacing w:after="103"/>
        <w:rPr>
          <w:lang w:val="it-IT"/>
        </w:rPr>
      </w:pPr>
      <w:r w:rsidRPr="00CD0E0B">
        <w:rPr>
          <w:lang w:val="it-IT"/>
        </w:rPr>
        <w:tab/>
        <w:t>La Società poi prosegue con la verifica dei criteri della GT29 di ISPRA ed elenca le</w:t>
      </w:r>
    </w:p>
    <w:p w14:paraId="379D7A6D" w14:textId="77777777" w:rsidR="004A2209" w:rsidRPr="00CD0E0B" w:rsidRDefault="009D460E">
      <w:pPr>
        <w:spacing w:after="103"/>
        <w:rPr>
          <w:lang w:val="it-IT"/>
        </w:rPr>
      </w:pPr>
      <w:r w:rsidRPr="00CD0E0B">
        <w:rPr>
          <w:lang w:val="it-IT"/>
        </w:rPr>
        <w:t>motivazioni per cui nell’area VT-25 tutti i criteri d’esclusione risulterebbero positivamente</w:t>
      </w:r>
    </w:p>
    <w:p w14:paraId="2F6E6A36" w14:textId="77777777" w:rsidR="004A2209" w:rsidRPr="00CD0E0B" w:rsidRDefault="009D460E">
      <w:pPr>
        <w:spacing w:after="103"/>
        <w:rPr>
          <w:lang w:val="it-IT"/>
        </w:rPr>
      </w:pPr>
      <w:r w:rsidRPr="00CD0E0B">
        <w:rPr>
          <w:lang w:val="it-IT"/>
        </w:rPr>
        <w:t>verificati in quanto non sarebbero state riscontrate condizioni, fenomeni e processi</w:t>
      </w:r>
    </w:p>
    <w:p w14:paraId="39ED5F73" w14:textId="77777777" w:rsidR="004A2209" w:rsidRPr="00CD0E0B" w:rsidRDefault="009D460E">
      <w:pPr>
        <w:spacing w:after="103" w:line="360" w:lineRule="auto"/>
        <w:rPr>
          <w:lang w:val="it-IT"/>
        </w:rPr>
      </w:pPr>
      <w:r w:rsidRPr="00CD0E0B">
        <w:rPr>
          <w:lang w:val="it-IT"/>
        </w:rPr>
        <w:t>riguardo le caratteristiche fisiche, naturalistiche e antropiche dell’area tali da determinarne l’esclusione.</w:t>
      </w:r>
    </w:p>
    <w:p w14:paraId="6273A3B4" w14:textId="4E6A337A" w:rsidR="004A2209" w:rsidRPr="00CD0E0B" w:rsidRDefault="009D460E">
      <w:pPr>
        <w:spacing w:after="103" w:line="360" w:lineRule="auto"/>
        <w:rPr>
          <w:lang w:val="it-IT"/>
        </w:rPr>
      </w:pPr>
      <w:r w:rsidRPr="00CD0E0B">
        <w:rPr>
          <w:lang w:val="it-IT"/>
        </w:rPr>
        <w:t>Oltre a tutte le indicazioni tecniche che abbiamo messo in evidenza vogliamo soffermarci su un altro passaggio fondamentale di questa triste vicenda che ci vede di nuovo, nostro malgrado, protagonisti, la</w:t>
      </w:r>
      <w:r w:rsidR="00475D94">
        <w:rPr>
          <w:lang w:val="it-IT"/>
        </w:rPr>
        <w:t xml:space="preserve"> mancanza di un percorso, partecipativo, per i cittadini che hanno sottoscritto le osservazioni. Manca infatti il percorso partecipativo</w:t>
      </w:r>
      <w:r w:rsidRPr="00CD0E0B">
        <w:rPr>
          <w:lang w:val="it-IT"/>
        </w:rPr>
        <w:t xml:space="preserve"> </w:t>
      </w:r>
      <w:r w:rsidR="00475D94">
        <w:rPr>
          <w:lang w:val="it-IT"/>
        </w:rPr>
        <w:t>agli step successivi alla presentazione delle osservazioni, perché per il momento saranno soltanto i Sindaci a seguirne gli sviluppi e a partecipare ai tavoli decisionali.</w:t>
      </w:r>
    </w:p>
    <w:p w14:paraId="095C23EF" w14:textId="40095AA2" w:rsidR="004A2209" w:rsidRPr="00CD0E0B" w:rsidRDefault="009D460E">
      <w:pPr>
        <w:spacing w:after="103" w:line="360" w:lineRule="auto"/>
        <w:rPr>
          <w:lang w:val="it-IT"/>
        </w:rPr>
      </w:pPr>
      <w:r w:rsidRPr="00CD0E0B">
        <w:rPr>
          <w:lang w:val="it-IT"/>
        </w:rPr>
        <w:t xml:space="preserve">Questo sarà quindi il nostro prossimo passo, chiedere fermamente che venga rispettato il principio </w:t>
      </w:r>
      <w:r w:rsidR="0007469C" w:rsidRPr="00CD0E0B">
        <w:rPr>
          <w:lang w:val="it-IT"/>
        </w:rPr>
        <w:t>de</w:t>
      </w:r>
      <w:r w:rsidRPr="00CD0E0B">
        <w:rPr>
          <w:lang w:val="it-IT"/>
        </w:rPr>
        <w:t>lla trasparenza</w:t>
      </w:r>
      <w:r w:rsidR="00475D94">
        <w:rPr>
          <w:lang w:val="it-IT"/>
        </w:rPr>
        <w:t xml:space="preserve"> e della partecipazione</w:t>
      </w:r>
      <w:r w:rsidRPr="00CD0E0B">
        <w:rPr>
          <w:lang w:val="it-IT"/>
        </w:rPr>
        <w:t xml:space="preserve"> perché i cittadini</w:t>
      </w:r>
      <w:r w:rsidR="0007469C" w:rsidRPr="00CD0E0B">
        <w:rPr>
          <w:lang w:val="it-IT"/>
        </w:rPr>
        <w:t>, possano</w:t>
      </w:r>
      <w:r w:rsidR="00475D94">
        <w:rPr>
          <w:lang w:val="it-IT"/>
        </w:rPr>
        <w:t xml:space="preserve"> prendere parte attiva al </w:t>
      </w:r>
      <w:r w:rsidR="00DD0536">
        <w:rPr>
          <w:lang w:val="it-IT"/>
        </w:rPr>
        <w:t>percorso politico e tecnico</w:t>
      </w:r>
      <w:r w:rsidRPr="00CD0E0B">
        <w:rPr>
          <w:lang w:val="it-IT"/>
        </w:rPr>
        <w:t xml:space="preserve"> che porterà all’individuazione del sito definitivo.</w:t>
      </w:r>
    </w:p>
    <w:p w14:paraId="2EDB3EBF" w14:textId="77777777" w:rsidR="004A2209" w:rsidRPr="00CD0E0B" w:rsidRDefault="004A2209">
      <w:pPr>
        <w:spacing w:after="103" w:line="360" w:lineRule="auto"/>
        <w:rPr>
          <w:lang w:val="it-IT"/>
        </w:rPr>
      </w:pPr>
    </w:p>
    <w:p w14:paraId="2C0304B2" w14:textId="77777777" w:rsidR="0007469C" w:rsidRPr="00CD0E0B" w:rsidRDefault="0007469C">
      <w:pPr>
        <w:spacing w:after="103" w:line="360" w:lineRule="auto"/>
        <w:rPr>
          <w:lang w:val="it-IT"/>
        </w:rPr>
      </w:pPr>
    </w:p>
    <w:sectPr w:rsidR="0007469C" w:rsidRPr="00CD0E0B" w:rsidSect="00CD0E0B">
      <w:headerReference w:type="default" r:id="rId6"/>
      <w:pgSz w:w="11906" w:h="16838"/>
      <w:pgMar w:top="1440" w:right="1440" w:bottom="1440" w:left="1440" w:header="142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99CF" w14:textId="77777777" w:rsidR="00B35DB7" w:rsidRDefault="00B35DB7">
      <w:pPr>
        <w:spacing w:after="0" w:line="240" w:lineRule="auto"/>
      </w:pPr>
      <w:r>
        <w:separator/>
      </w:r>
    </w:p>
  </w:endnote>
  <w:endnote w:type="continuationSeparator" w:id="0">
    <w:p w14:paraId="5DEFBACB" w14:textId="77777777" w:rsidR="00B35DB7" w:rsidRDefault="00B3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591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E156" w14:textId="77777777" w:rsidR="00B35DB7" w:rsidRDefault="00B35DB7">
      <w:pPr>
        <w:spacing w:after="0" w:line="240" w:lineRule="auto"/>
      </w:pPr>
      <w:r>
        <w:separator/>
      </w:r>
    </w:p>
  </w:footnote>
  <w:footnote w:type="continuationSeparator" w:id="0">
    <w:p w14:paraId="08905F3D" w14:textId="77777777" w:rsidR="00B35DB7" w:rsidRDefault="00B3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B2B3" w14:textId="70AE146F" w:rsidR="004A2209" w:rsidRDefault="00E00481">
    <w:pPr>
      <w:pStyle w:val="Intestazione"/>
    </w:pPr>
    <w:r>
      <w:rPr>
        <w:noProof/>
      </w:rPr>
      <w:drawing>
        <wp:inline distT="0" distB="0" distL="0" distR="0" wp14:anchorId="483F53C6" wp14:editId="3FB72909">
          <wp:extent cx="952500" cy="657225"/>
          <wp:effectExtent l="0" t="0" r="0" b="0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" t="-63" r="-46" b="-63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D460E">
      <w:rPr>
        <w:rFonts w:cs="Calibri"/>
      </w:rPr>
      <w:t xml:space="preserve"> </w:t>
    </w:r>
    <w:r>
      <w:rPr>
        <w:noProof/>
      </w:rPr>
      <w:drawing>
        <wp:inline distT="0" distB="0" distL="0" distR="0" wp14:anchorId="407DB6A9" wp14:editId="2D0FCD68">
          <wp:extent cx="542925" cy="542925"/>
          <wp:effectExtent l="0" t="0" r="0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" t="-49" r="-52" b="-49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D460E">
      <w:rPr>
        <w:rFonts w:cs="Calibri"/>
      </w:rPr>
      <w:t xml:space="preserve">  </w:t>
    </w:r>
    <w:r>
      <w:rPr>
        <w:noProof/>
      </w:rPr>
      <w:drawing>
        <wp:inline distT="0" distB="0" distL="0" distR="0" wp14:anchorId="31D5422B" wp14:editId="6B9B16E1">
          <wp:extent cx="1009650" cy="685800"/>
          <wp:effectExtent l="0" t="0" r="0" b="0"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" t="-69" r="-47" b="-69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D460E">
      <w:rPr>
        <w:rFonts w:cs="Calibri"/>
      </w:rPr>
      <w:t xml:space="preserve">  </w:t>
    </w:r>
    <w:r>
      <w:rPr>
        <w:noProof/>
      </w:rPr>
      <w:drawing>
        <wp:inline distT="0" distB="0" distL="0" distR="0" wp14:anchorId="5D583E1E" wp14:editId="755B40BB">
          <wp:extent cx="771525" cy="800100"/>
          <wp:effectExtent l="0" t="0" r="0" b="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4" t="-60" r="-64" b="-60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D460E">
      <w:rPr>
        <w:rFonts w:cs="Calibri"/>
      </w:rPr>
      <w:t xml:space="preserve"> </w:t>
    </w:r>
    <w:r>
      <w:rPr>
        <w:noProof/>
      </w:rPr>
      <w:drawing>
        <wp:inline distT="0" distB="0" distL="0" distR="0" wp14:anchorId="1D53DE37" wp14:editId="37B1D211">
          <wp:extent cx="685800" cy="685800"/>
          <wp:effectExtent l="0" t="0" r="0" b="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D460E">
      <w:rPr>
        <w:rFonts w:cs="Calibri"/>
      </w:rPr>
      <w:t xml:space="preserve">  </w:t>
    </w:r>
    <w:r>
      <w:rPr>
        <w:noProof/>
      </w:rPr>
      <w:drawing>
        <wp:inline distT="0" distB="0" distL="0" distR="0" wp14:anchorId="3580AB3D" wp14:editId="01D747A5">
          <wp:extent cx="1247775" cy="628650"/>
          <wp:effectExtent l="0" t="0" r="0" b="0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56" r="-29" b="-56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0366912" w14:textId="77777777" w:rsidR="004A2209" w:rsidRDefault="004A220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9C"/>
    <w:rsid w:val="0007469C"/>
    <w:rsid w:val="00247B0F"/>
    <w:rsid w:val="00475D94"/>
    <w:rsid w:val="004A2209"/>
    <w:rsid w:val="009D460E"/>
    <w:rsid w:val="00A9715A"/>
    <w:rsid w:val="00B35DB7"/>
    <w:rsid w:val="00CD0E0B"/>
    <w:rsid w:val="00DD0536"/>
    <w:rsid w:val="00E0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850BDF"/>
  <w15:chartTrackingRefBased/>
  <w15:docId w15:val="{563CE8D0-1067-4A2D-8667-B50C9DEA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6" w:lineRule="auto"/>
    </w:pPr>
    <w:rPr>
      <w:rFonts w:ascii="Calibri" w:eastAsia="Calibri" w:hAnsi="Calibri" w:cs="font59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513"/>
        <w:tab w:val="right" w:pos="9026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513"/>
        <w:tab w:val="right" w:pos="902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ia\Downloads\Articolo%20osservazioni%202%20(1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Articolo osservazioni 2 (1)</Template>
  <TotalTime>41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</dc:creator>
  <cp:keywords/>
  <cp:lastModifiedBy>Marzia Tibidabo</cp:lastModifiedBy>
  <cp:revision>3</cp:revision>
  <cp:lastPrinted>1995-11-21T16:41:00Z</cp:lastPrinted>
  <dcterms:created xsi:type="dcterms:W3CDTF">2021-07-06T06:57:00Z</dcterms:created>
  <dcterms:modified xsi:type="dcterms:W3CDTF">2021-07-07T05:54:00Z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