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center"/>
        <w:rPr>
          <w:b/>
          <w:b/>
          <w:bCs/>
        </w:rPr>
      </w:pPr>
      <w:r>
        <w:rPr>
          <w:b/>
          <w:bCs/>
        </w:rPr>
        <w:t>ITALIA NOSTRA SALVA VILLA ADRIANA NEL PATRIMONIO UNESCO</w:t>
      </w:r>
    </w:p>
    <w:p>
      <w:pPr>
        <w:pStyle w:val="Normal"/>
        <w:bidi w:val="0"/>
        <w:jc w:val="center"/>
        <w:rPr>
          <w:b/>
          <w:b/>
          <w:bCs/>
        </w:rPr>
      </w:pPr>
      <w:r>
        <w:rPr>
          <w:b/>
          <w:bCs/>
        </w:rPr>
      </w:r>
    </w:p>
    <w:p>
      <w:pPr>
        <w:pStyle w:val="Normal"/>
        <w:bidi w:val="0"/>
        <w:jc w:val="center"/>
        <w:rPr>
          <w:b/>
          <w:b/>
          <w:bCs/>
        </w:rPr>
      </w:pPr>
      <w:r>
        <w:rPr>
          <w:b/>
          <w:bCs/>
        </w:rPr>
        <w:t xml:space="preserve">IL TAR DEL LAZIO ANNULLA LA LOTTIZZAZIONE c.d. NATHAN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La Villa Adriana, presso Tivoli fu costruita all</w:t>
      </w:r>
      <w:r>
        <w:rPr>
          <w:rFonts w:ascii="Times New Roman" w:hAnsi="Times New Roman"/>
          <w:i w:val="false"/>
          <w:iCs w:val="false"/>
          <w:sz w:val="24"/>
          <w:szCs w:val="24"/>
          <w:shd w:fill="FFFFFF" w:val="clear"/>
        </w:rPr>
        <w:t>’</w:t>
      </w:r>
      <w:r>
        <w:rPr>
          <w:rFonts w:ascii="Times New Roman" w:hAnsi="Times New Roman"/>
          <w:sz w:val="24"/>
          <w:szCs w:val="24"/>
        </w:rPr>
        <w:t>inizio del secondo secolo dall</w:t>
      </w:r>
      <w:r>
        <w:rPr>
          <w:rFonts w:ascii="Times New Roman" w:hAnsi="Times New Roman"/>
          <w:i w:val="false"/>
          <w:iCs w:val="false"/>
          <w:sz w:val="24"/>
          <w:szCs w:val="24"/>
          <w:shd w:fill="FFFFFF" w:val="clear"/>
        </w:rPr>
        <w:t>’</w:t>
      </w:r>
      <w:r>
        <w:rPr>
          <w:rFonts w:ascii="Times New Roman" w:hAnsi="Times New Roman"/>
          <w:sz w:val="24"/>
          <w:szCs w:val="24"/>
        </w:rPr>
        <w:t xml:space="preserve">imperatore Adriano come residenza imperiale estiva, </w:t>
      </w:r>
      <w:r>
        <w:rPr>
          <w:rFonts w:ascii="Times New Roman" w:hAnsi="Times New Roman"/>
          <w:sz w:val="24"/>
          <w:szCs w:val="24"/>
        </w:rPr>
        <w:t>e fu in uso fino al IV-V sec</w:t>
      </w:r>
      <w:r>
        <w:rPr>
          <w:rFonts w:ascii="Times New Roman" w:hAnsi="Times New Roman"/>
          <w:sz w:val="24"/>
          <w:szCs w:val="24"/>
        </w:rPr>
        <w:t xml:space="preserve">. Si estende su circa 120 ettari di cui 40 costituiscono il parco archeologico di Villa Adriana, di proprietà statale dal 1870,  </w:t>
      </w:r>
      <w:r>
        <w:rPr>
          <w:rFonts w:ascii="Times New Roman" w:hAnsi="Times New Roman"/>
          <w:sz w:val="24"/>
          <w:szCs w:val="24"/>
        </w:rPr>
        <w:t>molto visitato</w:t>
      </w:r>
      <w:r>
        <w:rPr>
          <w:rFonts w:ascii="Times New Roman" w:hAnsi="Times New Roman"/>
          <w:sz w:val="24"/>
          <w:szCs w:val="24"/>
        </w:rPr>
        <w:t xml:space="preserve">.  Nella villa </w:t>
      </w:r>
      <w:r>
        <w:rPr>
          <w:rFonts w:eastAsia="SimSun" w:cs="Lucida Sans" w:ascii="Times New Roman" w:hAnsi="Times New Roman"/>
          <w:color w:val="auto"/>
          <w:kern w:val="2"/>
          <w:sz w:val="24"/>
          <w:szCs w:val="24"/>
          <w:lang w:val="it-CH" w:eastAsia="zh-CN" w:bidi="hi-IN"/>
        </w:rPr>
        <w:t xml:space="preserve">furono riprodotte </w:t>
      </w:r>
      <w:r>
        <w:rPr>
          <w:rFonts w:ascii="Times New Roman" w:hAnsi="Times New Roman"/>
          <w:sz w:val="24"/>
          <w:szCs w:val="24"/>
        </w:rPr>
        <w:t>le maggiori opere architettoniche dell</w:t>
      </w:r>
      <w:r>
        <w:rPr>
          <w:rFonts w:ascii="Times New Roman" w:hAnsi="Times New Roman"/>
          <w:i w:val="false"/>
          <w:iCs w:val="false"/>
          <w:sz w:val="24"/>
          <w:szCs w:val="24"/>
          <w:shd w:fill="FFFFFF" w:val="clear"/>
        </w:rPr>
        <w:t>’</w:t>
      </w:r>
      <w:r>
        <w:rPr>
          <w:rFonts w:ascii="Times New Roman" w:hAnsi="Times New Roman"/>
          <w:sz w:val="24"/>
          <w:szCs w:val="24"/>
        </w:rPr>
        <w:t xml:space="preserve">impero (il Canopo sul Nilo, la valle di Tempe in Tessaglia, il Pecile di Atene, etc.), e compaiono inoltre nuove ardite strutture architettoniche, che viste direttamente o riprodotte nelle magistrali incisioni di Piranesi, ispirarono architetti come Antonio Sangallo e Francesco Borromini, e furono un modello frequentemente citato dagli architetti neoclassici in tutta Europa. </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sz w:val="24"/>
          <w:szCs w:val="24"/>
          <w:shd w:fill="FFFFFF" w:val="clear"/>
        </w:rPr>
        <w:t>I</w:t>
      </w:r>
      <w:r>
        <w:rPr>
          <w:rFonts w:ascii="Times New Roman" w:hAnsi="Times New Roman"/>
          <w:sz w:val="24"/>
          <w:szCs w:val="24"/>
          <w:shd w:fill="FFFFFF" w:val="clear"/>
        </w:rPr>
        <w:t>l</w:t>
      </w:r>
      <w:r>
        <w:rPr>
          <w:rFonts w:ascii="Times New Roman" w:hAnsi="Times New Roman"/>
          <w:sz w:val="24"/>
          <w:szCs w:val="24"/>
          <w:shd w:fill="FFFFFF" w:val="clear"/>
        </w:rPr>
        <w:t xml:space="preserve"> parco archeologico di Villa Adriana fu inserito nel Patrimonio Mondiale dell’Umanità (World Heritage) nel 1999 (23° sessione del Comitato UNESCO). Nel trattato sottoscritto con l’UNESCO  lo stato italiano si impegnava a mantenere non urbanizzata una fascia di rispetto («buffer zone») attorno alla villa. </w:t>
      </w:r>
      <w:r>
        <w:rPr>
          <w:rFonts w:ascii="Times New Roman" w:hAnsi="Times New Roman"/>
          <w:sz w:val="24"/>
          <w:szCs w:val="24"/>
          <w:shd w:fill="FFFFFF" w:val="clear"/>
        </w:rPr>
        <w:t>Quest</w:t>
      </w:r>
      <w:r>
        <w:rPr>
          <w:rFonts w:ascii="Times New Roman" w:hAnsi="Times New Roman"/>
          <w:i w:val="false"/>
          <w:iCs w:val="false"/>
          <w:sz w:val="24"/>
          <w:szCs w:val="24"/>
          <w:shd w:fill="FFFFFF" w:val="clear"/>
        </w:rPr>
        <w:t>’</w:t>
      </w:r>
      <w:r>
        <w:rPr>
          <w:rFonts w:ascii="Times New Roman" w:hAnsi="Times New Roman"/>
          <w:sz w:val="24"/>
          <w:szCs w:val="24"/>
          <w:shd w:fill="FFFFFF" w:val="clear"/>
        </w:rPr>
        <w:t xml:space="preserve">area comprende la fascia a </w:t>
      </w:r>
      <w:r>
        <w:rPr>
          <w:rFonts w:ascii="Times New Roman" w:hAnsi="Times New Roman"/>
          <w:sz w:val="24"/>
          <w:szCs w:val="24"/>
          <w:shd w:fill="FFFFFF" w:val="clear"/>
        </w:rPr>
        <w:t>s</w:t>
      </w:r>
      <w:r>
        <w:rPr>
          <w:rFonts w:ascii="Times New Roman" w:hAnsi="Times New Roman"/>
          <w:sz w:val="24"/>
          <w:szCs w:val="24"/>
          <w:shd w:fill="FFFFFF" w:val="clear"/>
        </w:rPr>
        <w:t xml:space="preserve">ud del parco archeologico, fino alla </w:t>
      </w:r>
      <w:r>
        <w:rPr>
          <w:rFonts w:ascii="Times New Roman" w:hAnsi="Times New Roman"/>
          <w:sz w:val="24"/>
          <w:szCs w:val="24"/>
          <w:shd w:fill="FFFFFF" w:val="clear"/>
        </w:rPr>
        <w:t>strada</w:t>
      </w:r>
      <w:r>
        <w:rPr>
          <w:rFonts w:ascii="Times New Roman" w:hAnsi="Times New Roman"/>
          <w:sz w:val="24"/>
          <w:szCs w:val="24"/>
          <w:shd w:fill="FFFFFF" w:val="clear"/>
        </w:rPr>
        <w:t xml:space="preserve"> che conduce al casello autostradale, tuttora prevalentemente libera da edifici, mentre l</w:t>
      </w:r>
      <w:r>
        <w:rPr>
          <w:rFonts w:ascii="Times New Roman" w:hAnsi="Times New Roman"/>
          <w:i w:val="false"/>
          <w:iCs w:val="false"/>
          <w:sz w:val="24"/>
          <w:szCs w:val="24"/>
          <w:shd w:fill="FFFFFF" w:val="clear"/>
        </w:rPr>
        <w:t>’</w:t>
      </w:r>
      <w:r>
        <w:rPr>
          <w:rFonts w:ascii="Times New Roman" w:hAnsi="Times New Roman"/>
          <w:sz w:val="24"/>
          <w:szCs w:val="24"/>
          <w:shd w:fill="FFFFFF" w:val="clear"/>
        </w:rPr>
        <w:t xml:space="preserve">area a </w:t>
      </w:r>
      <w:r>
        <w:rPr>
          <w:rFonts w:ascii="Times New Roman" w:hAnsi="Times New Roman"/>
          <w:sz w:val="24"/>
          <w:szCs w:val="24"/>
          <w:shd w:fill="FFFFFF" w:val="clear"/>
        </w:rPr>
        <w:t>nord</w:t>
      </w:r>
      <w:r>
        <w:rPr>
          <w:rFonts w:ascii="Times New Roman" w:hAnsi="Times New Roman"/>
          <w:sz w:val="24"/>
          <w:szCs w:val="24"/>
          <w:shd w:fill="FFFFFF" w:val="clear"/>
        </w:rPr>
        <w:t xml:space="preserve"> verso la via nazionale tiburtina, è occupata da una disordinata borgata costruita, in parte abusivamente, dal dopoguerra in poi. </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i w:val="false"/>
          <w:iCs w:val="false"/>
          <w:sz w:val="24"/>
          <w:szCs w:val="24"/>
          <w:shd w:fill="FFFFFF" w:val="clear"/>
        </w:rPr>
        <w:t>M</w:t>
      </w:r>
      <w:r>
        <w:rPr>
          <w:rFonts w:ascii="Times New Roman" w:hAnsi="Times New Roman"/>
          <w:i w:val="false"/>
          <w:iCs w:val="false"/>
          <w:sz w:val="24"/>
          <w:szCs w:val="24"/>
          <w:shd w:fill="FFFFFF" w:val="clear"/>
        </w:rPr>
        <w:t>a s</w:t>
      </w:r>
      <w:r>
        <w:rPr>
          <w:rFonts w:ascii="Times New Roman" w:hAnsi="Times New Roman"/>
          <w:i w:val="false"/>
          <w:iCs w:val="false"/>
          <w:sz w:val="24"/>
          <w:szCs w:val="24"/>
          <w:shd w:fill="FFFFFF" w:val="clear"/>
        </w:rPr>
        <w:t>u</w:t>
      </w:r>
      <w:r>
        <w:rPr>
          <w:rFonts w:ascii="Times New Roman" w:hAnsi="Times New Roman"/>
          <w:i w:val="false"/>
          <w:iCs w:val="false"/>
          <w:sz w:val="24"/>
          <w:szCs w:val="24"/>
          <w:shd w:fill="FFFFFF" w:val="clear"/>
        </w:rPr>
        <w:t xml:space="preserve">ll’area </w:t>
      </w:r>
      <w:r>
        <w:rPr>
          <w:rFonts w:ascii="Times New Roman" w:hAnsi="Times New Roman"/>
          <w:i w:val="false"/>
          <w:iCs w:val="false"/>
          <w:sz w:val="24"/>
          <w:szCs w:val="24"/>
          <w:shd w:fill="FFFFFF" w:val="clear"/>
        </w:rPr>
        <w:t>ancora libera</w:t>
      </w:r>
      <w:r>
        <w:rPr>
          <w:rFonts w:ascii="Times New Roman" w:hAnsi="Times New Roman"/>
          <w:i w:val="false"/>
          <w:iCs w:val="false"/>
          <w:sz w:val="24"/>
          <w:szCs w:val="24"/>
          <w:shd w:fill="FFFFFF" w:val="clear"/>
        </w:rPr>
        <w:t xml:space="preserve"> pendeva fin dagli anni 70, conformemente alle previsioni del piano regolatore </w:t>
      </w:r>
      <w:r>
        <w:rPr>
          <w:rFonts w:ascii="Times New Roman" w:hAnsi="Times New Roman"/>
          <w:i w:val="false"/>
          <w:iCs w:val="false"/>
          <w:sz w:val="24"/>
          <w:szCs w:val="24"/>
          <w:shd w:fill="FFFFFF" w:val="clear"/>
        </w:rPr>
        <w:t>di Tivoli</w:t>
      </w:r>
      <w:r>
        <w:rPr>
          <w:rFonts w:ascii="Times New Roman" w:hAnsi="Times New Roman"/>
          <w:i w:val="false"/>
          <w:iCs w:val="false"/>
          <w:sz w:val="24"/>
          <w:szCs w:val="24"/>
          <w:shd w:fill="FFFFFF" w:val="clear"/>
        </w:rPr>
        <w:t xml:space="preserve">, la minaccia di una colossale lottizzazione di circa un milione di mc, detta «lottizzazione Nathan», dal nome della famiglia del famoso sindaco di Roma,  proprietaria nel secolo scorso di quei terreni. </w:t>
      </w:r>
      <w:r>
        <w:rPr>
          <w:rFonts w:ascii="Times New Roman" w:hAnsi="Times New Roman"/>
          <w:i w:val="false"/>
          <w:iCs w:val="false"/>
          <w:sz w:val="24"/>
          <w:szCs w:val="24"/>
          <w:shd w:fill="FFFFFF" w:val="clear"/>
        </w:rPr>
        <w:t xml:space="preserve">La sua realizzazione avrebbe chiuso il parco archeologico in un anello di poco attraente urbanizzazione moderna, una situazione non proprio adatta ad un’adeguata valorizzazione. Negli anni ottanta la lottizzazione Nathan fu vicina alla realizzazione, tanto che furono in buona parte eseguite le opere di urbanizzazione. Italia Nostra </w:t>
      </w:r>
      <w:r>
        <w:rPr>
          <w:rFonts w:eastAsia="SimSun" w:cs="Lucida Sans" w:ascii="Times New Roman" w:hAnsi="Times New Roman"/>
          <w:i w:val="false"/>
          <w:iCs w:val="false"/>
          <w:color w:val="000000"/>
          <w:kern w:val="2"/>
          <w:sz w:val="24"/>
          <w:szCs w:val="24"/>
          <w:shd w:fill="FFFFFF" w:val="clear"/>
          <w:lang w:val="it-CH" w:eastAsia="zh-CN" w:bidi="hi-IN"/>
        </w:rPr>
        <w:t>richiese</w:t>
      </w:r>
      <w:r>
        <w:rPr>
          <w:rFonts w:ascii="Times New Roman" w:hAnsi="Times New Roman"/>
          <w:i w:val="false"/>
          <w:iCs w:val="false"/>
          <w:sz w:val="24"/>
          <w:szCs w:val="24"/>
          <w:shd w:fill="FFFFFF" w:val="clear"/>
        </w:rPr>
        <w:t xml:space="preserve"> l’intervento della soprintendenza che bloccò i lavori, </w:t>
      </w:r>
      <w:r>
        <w:rPr>
          <w:rFonts w:ascii="Times New Roman" w:hAnsi="Times New Roman"/>
          <w:i w:val="false"/>
          <w:iCs w:val="false"/>
          <w:sz w:val="24"/>
          <w:szCs w:val="24"/>
          <w:shd w:fill="FFFFFF" w:val="clear"/>
        </w:rPr>
        <w:t>anche</w:t>
      </w:r>
      <w:r>
        <w:rPr>
          <w:rFonts w:ascii="Times New Roman" w:hAnsi="Times New Roman"/>
          <w:i w:val="false"/>
          <w:iCs w:val="false"/>
          <w:sz w:val="24"/>
          <w:szCs w:val="24"/>
          <w:shd w:fill="FFFFFF" w:val="clear"/>
        </w:rPr>
        <w:t xml:space="preserve"> in seguito alla (prevedibile) scoperta di importanti resti archeologici. </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i w:val="false"/>
          <w:iCs w:val="false"/>
          <w:sz w:val="24"/>
          <w:szCs w:val="24"/>
          <w:shd w:fill="FFFFFF" w:val="clear"/>
        </w:rPr>
        <w:t>Con la conseguente apposizion</w:t>
      </w:r>
      <w:r>
        <w:rPr>
          <w:rFonts w:ascii="Times New Roman" w:hAnsi="Times New Roman"/>
          <w:i w:val="false"/>
          <w:iCs w:val="false"/>
          <w:sz w:val="24"/>
          <w:szCs w:val="24"/>
          <w:shd w:fill="FFFFFF" w:val="clear"/>
        </w:rPr>
        <w:t>e</w:t>
      </w:r>
      <w:r>
        <w:rPr>
          <w:rFonts w:ascii="Times New Roman" w:hAnsi="Times New Roman"/>
          <w:i w:val="false"/>
          <w:iCs w:val="false"/>
          <w:sz w:val="24"/>
          <w:szCs w:val="24"/>
          <w:shd w:fill="FFFFFF" w:val="clear"/>
        </w:rPr>
        <w:t xml:space="preserve"> di vincoli da parte del ministero, la lottizzazione fu notevolmente ridotta e si arrivò nel 1998 ad un nuovo piano per circa 180.000 mc. Intanto, in conseguenza </w:t>
      </w:r>
      <w:r>
        <w:rPr>
          <w:rFonts w:ascii="Times New Roman" w:hAnsi="Times New Roman"/>
          <w:i w:val="false"/>
          <w:iCs w:val="false"/>
          <w:sz w:val="24"/>
          <w:szCs w:val="24"/>
          <w:shd w:fill="FFFFFF" w:val="clear"/>
        </w:rPr>
        <w:t>del trattato con l’UNESCO,</w:t>
      </w:r>
      <w:r>
        <w:rPr>
          <w:rFonts w:ascii="Times New Roman" w:hAnsi="Times New Roman"/>
          <w:i w:val="false"/>
          <w:iCs w:val="false"/>
          <w:sz w:val="24"/>
          <w:szCs w:val="24"/>
          <w:shd w:fill="FFFFFF" w:val="clear"/>
        </w:rPr>
        <w:t xml:space="preserve"> nel 2001 il ministero dei beni culturali vincolava ai sensi del d.lgs. 29 ottobre 1990, nr. 490 come</w:t>
      </w:r>
      <w:r>
        <w:rPr>
          <w:rFonts w:ascii="Times New Roman" w:hAnsi="Times New Roman"/>
          <w:i/>
          <w:iCs/>
          <w:sz w:val="24"/>
          <w:szCs w:val="24"/>
          <w:shd w:fill="FFFFFF" w:val="clear"/>
        </w:rPr>
        <w:t xml:space="preserve"> zona di interesse archeologico</w:t>
      </w:r>
      <w:r>
        <w:rPr>
          <w:rFonts w:ascii="Times New Roman" w:hAnsi="Times New Roman"/>
          <w:i w:val="false"/>
          <w:iCs w:val="false"/>
          <w:sz w:val="24"/>
          <w:szCs w:val="24"/>
          <w:shd w:fill="FFFFFF" w:val="clear"/>
        </w:rPr>
        <w:t xml:space="preserve"> l’area </w:t>
      </w:r>
      <w:r>
        <w:rPr>
          <w:rFonts w:ascii="Times New Roman" w:hAnsi="Times New Roman"/>
          <w:i w:val="false"/>
          <w:iCs w:val="false"/>
          <w:sz w:val="24"/>
          <w:szCs w:val="24"/>
          <w:shd w:fill="FFFFFF" w:val="clear"/>
        </w:rPr>
        <w:t>tuttora</w:t>
      </w:r>
      <w:r>
        <w:rPr>
          <w:rFonts w:ascii="Times New Roman" w:hAnsi="Times New Roman"/>
          <w:i w:val="false"/>
          <w:iCs w:val="false"/>
          <w:sz w:val="24"/>
          <w:szCs w:val="24"/>
          <w:shd w:fill="FFFFFF" w:val="clear"/>
        </w:rPr>
        <w:t xml:space="preserve"> </w:t>
      </w:r>
      <w:r>
        <w:rPr>
          <w:rFonts w:ascii="Times New Roman" w:hAnsi="Times New Roman"/>
          <w:i w:val="false"/>
          <w:iCs w:val="false"/>
          <w:sz w:val="24"/>
          <w:szCs w:val="24"/>
          <w:shd w:fill="FFFFFF" w:val="clear"/>
        </w:rPr>
        <w:t xml:space="preserve">libera contigua al parco archeologico, </w:t>
      </w:r>
      <w:r>
        <w:rPr>
          <w:rFonts w:ascii="Times New Roman" w:hAnsi="Times New Roman"/>
          <w:i w:val="false"/>
          <w:iCs w:val="false"/>
          <w:sz w:val="24"/>
          <w:szCs w:val="24"/>
          <w:shd w:fill="FFFFFF" w:val="clear"/>
        </w:rPr>
        <w:t xml:space="preserve">prevista </w:t>
      </w:r>
      <w:r>
        <w:rPr>
          <w:rFonts w:ascii="Times New Roman" w:hAnsi="Times New Roman"/>
          <w:i w:val="false"/>
          <w:iCs w:val="false"/>
          <w:sz w:val="24"/>
          <w:szCs w:val="24"/>
          <w:shd w:fill="FFFFFF" w:val="clear"/>
        </w:rPr>
        <w:t xml:space="preserve">nel trattato </w:t>
      </w:r>
      <w:r>
        <w:rPr>
          <w:rFonts w:ascii="Times New Roman" w:hAnsi="Times New Roman"/>
          <w:i w:val="false"/>
          <w:iCs w:val="false"/>
          <w:sz w:val="24"/>
          <w:szCs w:val="24"/>
          <w:shd w:fill="FFFFFF" w:val="clear"/>
        </w:rPr>
        <w:t>come «area buffer»</w:t>
      </w:r>
      <w:r>
        <w:rPr>
          <w:rFonts w:ascii="Times New Roman" w:hAnsi="Times New Roman"/>
          <w:i w:val="false"/>
          <w:iCs w:val="false"/>
          <w:sz w:val="24"/>
          <w:szCs w:val="24"/>
          <w:shd w:fill="FFFFFF" w:val="clear"/>
        </w:rPr>
        <w:t xml:space="preserve">, </w:t>
      </w:r>
      <w:r>
        <w:rPr>
          <w:rFonts w:ascii="Times New Roman" w:hAnsi="Times New Roman"/>
          <w:i w:val="false"/>
          <w:iCs w:val="false"/>
          <w:sz w:val="24"/>
          <w:szCs w:val="24"/>
          <w:shd w:fill="FFFFFF" w:val="clear"/>
        </w:rPr>
        <w:t>ovvero come area di rispetto, finalizzata alla fruizione e valorizzazione del monumento</w:t>
      </w:r>
      <w:r>
        <w:rPr>
          <w:rFonts w:ascii="Times New Roman" w:hAnsi="Times New Roman"/>
          <w:i/>
          <w:iCs/>
          <w:sz w:val="24"/>
          <w:szCs w:val="24"/>
          <w:shd w:fill="FFFFFF" w:val="clear"/>
        </w:rPr>
        <w:t xml:space="preserve">. </w:t>
      </w:r>
      <w:r>
        <w:rPr>
          <w:rFonts w:ascii="TimesNewRomanPSMT" w:hAnsi="TimesNewRomanPSMT"/>
          <w:i w:val="false"/>
          <w:iCs w:val="false"/>
          <w:sz w:val="30"/>
          <w:szCs w:val="24"/>
          <w:shd w:fill="FFFFFF" w:val="clear"/>
        </w:rPr>
        <w:t xml:space="preserve"> </w:t>
      </w:r>
      <w:r>
        <w:rPr>
          <w:rFonts w:ascii="Times New Roman" w:hAnsi="Times New Roman"/>
          <w:i w:val="false"/>
          <w:iCs w:val="false"/>
          <w:sz w:val="24"/>
          <w:szCs w:val="24"/>
          <w:shd w:fill="FFFFFF" w:val="clear"/>
        </w:rPr>
        <w:t xml:space="preserve">Tale vincolo veniva recepito  </w:t>
      </w:r>
      <w:r>
        <w:rPr>
          <w:rFonts w:ascii="Times New Roman" w:hAnsi="Times New Roman"/>
          <w:i w:val="false"/>
          <w:iCs w:val="false"/>
          <w:sz w:val="24"/>
          <w:szCs w:val="24"/>
          <w:shd w:fill="FFFFFF" w:val="clear"/>
        </w:rPr>
        <w:t>nel 2007</w:t>
      </w:r>
      <w:r>
        <w:rPr>
          <w:rFonts w:ascii="Times New Roman" w:hAnsi="Times New Roman"/>
          <w:i w:val="false"/>
          <w:iCs w:val="false"/>
          <w:sz w:val="24"/>
          <w:szCs w:val="24"/>
          <w:shd w:fill="FFFFFF" w:val="clear"/>
        </w:rPr>
        <w:t xml:space="preserve">dalla Regione Lazio, che includeva la zona nel Piano Territoriale Paesaggistico Regionale (PTPR) come “Paesaggio Naturale Agrario”. </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i w:val="false"/>
          <w:iCs w:val="false"/>
          <w:sz w:val="24"/>
          <w:szCs w:val="24"/>
          <w:shd w:fill="FFFFFF" w:val="clear"/>
        </w:rPr>
        <w:t>M</w:t>
      </w:r>
      <w:r>
        <w:rPr>
          <w:rFonts w:ascii="Times New Roman" w:hAnsi="Times New Roman"/>
          <w:i w:val="false"/>
          <w:iCs w:val="false"/>
          <w:sz w:val="24"/>
          <w:szCs w:val="24"/>
          <w:shd w:fill="FFFFFF" w:val="clear"/>
        </w:rPr>
        <w:t xml:space="preserve">a nel 2008 il consiglio comunale di Tivoli </w:t>
      </w:r>
      <w:r>
        <w:rPr>
          <w:rFonts w:ascii="Times New Roman" w:hAnsi="Times New Roman"/>
          <w:i w:val="false"/>
          <w:iCs w:val="false"/>
          <w:sz w:val="24"/>
          <w:szCs w:val="24"/>
          <w:shd w:fill="FFFFFF" w:val="clear"/>
        </w:rPr>
        <w:t xml:space="preserve">adottava il piano di lottizzazione, e, il 6/11/2011, sulla base del parere paesaggistico positivo rilasciato dagli uffici regionali, lo ha approvato. Italia Nostra </w:t>
      </w:r>
      <w:r>
        <w:rPr>
          <w:rFonts w:ascii="Times New Roman" w:hAnsi="Times New Roman"/>
          <w:i w:val="false"/>
          <w:iCs w:val="false"/>
          <w:sz w:val="24"/>
          <w:szCs w:val="24"/>
          <w:shd w:fill="FFFFFF" w:val="clear"/>
        </w:rPr>
        <w:t>ha presentato</w:t>
      </w:r>
      <w:r>
        <w:rPr>
          <w:rFonts w:ascii="Times New Roman" w:hAnsi="Times New Roman"/>
          <w:i w:val="false"/>
          <w:iCs w:val="false"/>
          <w:sz w:val="24"/>
          <w:szCs w:val="24"/>
          <w:shd w:fill="FFFFFF" w:val="clear"/>
        </w:rPr>
        <w:t xml:space="preserve"> ricorso al T.A.R. nel 2012. </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i w:val="false"/>
          <w:iCs w:val="false"/>
          <w:sz w:val="24"/>
          <w:szCs w:val="24"/>
          <w:shd w:fill="FFFFFF" w:val="clear"/>
        </w:rPr>
        <w:t xml:space="preserve">Nello stesso anno 2012 il Comitato per il Patrimonio Mondiale dell’UNESCO </w:t>
      </w:r>
      <w:r>
        <w:rPr>
          <w:rFonts w:ascii="Times New Roman" w:hAnsi="Times New Roman"/>
          <w:i w:val="false"/>
          <w:iCs w:val="false"/>
          <w:sz w:val="24"/>
          <w:szCs w:val="24"/>
          <w:shd w:fill="FFFFFF" w:val="clear"/>
        </w:rPr>
        <w:t>delibera</w:t>
      </w:r>
      <w:r>
        <w:rPr>
          <w:rFonts w:ascii="Times New Roman" w:hAnsi="Times New Roman"/>
          <w:i w:val="false"/>
          <w:iCs w:val="false"/>
          <w:sz w:val="24"/>
          <w:szCs w:val="24"/>
          <w:shd w:fill="FFFFFF" w:val="clear"/>
        </w:rPr>
        <w:t>va</w:t>
      </w:r>
      <w:r>
        <w:rPr>
          <w:rFonts w:ascii="Times New Roman" w:hAnsi="Times New Roman"/>
          <w:i w:val="false"/>
          <w:iCs w:val="false"/>
          <w:sz w:val="24"/>
          <w:szCs w:val="24"/>
          <w:shd w:fill="FFFFFF" w:val="clear"/>
        </w:rPr>
        <w:t xml:space="preserve">, in base agli accordi, </w:t>
      </w:r>
      <w:r>
        <w:rPr>
          <w:rFonts w:ascii="Times New Roman" w:hAnsi="Times New Roman"/>
          <w:i w:val="false"/>
          <w:iCs w:val="false"/>
          <w:sz w:val="24"/>
          <w:szCs w:val="24"/>
          <w:shd w:fill="FFFFFF" w:val="clear"/>
        </w:rPr>
        <w:t>di richiedere allo</w:t>
      </w:r>
      <w:r>
        <w:rPr>
          <w:rFonts w:ascii="Times New Roman" w:hAnsi="Times New Roman"/>
          <w:i w:val="false"/>
          <w:iCs w:val="false"/>
          <w:sz w:val="24"/>
          <w:szCs w:val="24"/>
          <w:shd w:fill="FFFFFF" w:val="clear"/>
        </w:rPr>
        <w:t xml:space="preserve"> stato italiano </w:t>
      </w:r>
      <w:r>
        <w:rPr>
          <w:rFonts w:ascii="Times New Roman" w:hAnsi="Times New Roman"/>
          <w:i w:val="false"/>
          <w:iCs w:val="false"/>
          <w:sz w:val="24"/>
          <w:szCs w:val="24"/>
          <w:shd w:fill="FFFFFF" w:val="clear"/>
        </w:rPr>
        <w:t xml:space="preserve">di essere </w:t>
      </w:r>
      <w:r>
        <w:rPr>
          <w:rFonts w:ascii="Times New Roman" w:hAnsi="Times New Roman"/>
          <w:i w:val="false"/>
          <w:iCs w:val="false"/>
          <w:sz w:val="24"/>
          <w:szCs w:val="24"/>
          <w:shd w:fill="FFFFFF" w:val="clear"/>
        </w:rPr>
        <w:t xml:space="preserve">informato, </w:t>
      </w:r>
      <w:r>
        <w:rPr>
          <w:rFonts w:ascii="Times New Roman" w:hAnsi="Times New Roman"/>
          <w:i w:val="false"/>
          <w:iCs w:val="false"/>
          <w:sz w:val="24"/>
          <w:szCs w:val="24"/>
          <w:shd w:fill="FFFFFF" w:val="clear"/>
        </w:rPr>
        <w:t>a norma del trattato,</w:t>
      </w:r>
      <w:r>
        <w:rPr>
          <w:rFonts w:ascii="Times New Roman" w:hAnsi="Times New Roman"/>
          <w:i w:val="false"/>
          <w:iCs w:val="false"/>
          <w:sz w:val="24"/>
          <w:szCs w:val="24"/>
          <w:shd w:fill="FFFFFF" w:val="clear"/>
        </w:rPr>
        <w:t xml:space="preserve"> sugli interventi all’interno dell’area buffer </w:t>
      </w:r>
      <w:r>
        <w:rPr>
          <w:rFonts w:ascii="Times New Roman" w:hAnsi="Times New Roman"/>
          <w:i w:val="false"/>
          <w:iCs w:val="false"/>
          <w:sz w:val="24"/>
          <w:szCs w:val="24"/>
          <w:shd w:fill="FFFFFF" w:val="clear"/>
        </w:rPr>
        <w:t>di Villa Adriana</w:t>
      </w:r>
      <w:r>
        <w:rPr>
          <w:rFonts w:ascii="Times New Roman" w:hAnsi="Times New Roman"/>
          <w:i w:val="false"/>
          <w:iCs w:val="false"/>
          <w:sz w:val="24"/>
          <w:szCs w:val="24"/>
          <w:shd w:fill="FFFFFF" w:val="clear"/>
        </w:rPr>
        <w:t xml:space="preserve">. </w:t>
      </w:r>
      <w:r>
        <w:rPr>
          <w:rFonts w:ascii="Times New Roman" w:hAnsi="Times New Roman"/>
          <w:i w:val="false"/>
          <w:iCs w:val="false"/>
          <w:sz w:val="24"/>
          <w:szCs w:val="24"/>
          <w:shd w:fill="FFFFFF" w:val="clear"/>
        </w:rPr>
        <w:t xml:space="preserve">Tali interventi devono infatti avere  un HIA (Heritage Impact Assessment) positivo per essere realizzati.     </w:t>
      </w:r>
      <w:r>
        <w:rPr>
          <w:rFonts w:ascii="Times New Roman" w:hAnsi="Times New Roman"/>
          <w:i w:val="false"/>
          <w:iCs w:val="false"/>
          <w:sz w:val="24"/>
          <w:szCs w:val="24"/>
          <w:shd w:fill="FFFFFF" w:val="clear"/>
        </w:rPr>
        <w:t xml:space="preserve">Nel 2013 la  Direzione Regionale per i Beni Culturali e Paesaggistici della Regione Lazio incarica l’arch. Jane Thompson di </w:t>
      </w:r>
      <w:r>
        <w:rPr>
          <w:rFonts w:eastAsia="SimSun" w:cs="Lucida Sans" w:ascii="Times New Roman" w:hAnsi="Times New Roman"/>
          <w:i w:val="false"/>
          <w:iCs w:val="false"/>
          <w:color w:val="000000"/>
          <w:kern w:val="2"/>
          <w:sz w:val="24"/>
          <w:szCs w:val="24"/>
          <w:shd w:fill="FFFFFF" w:val="clear"/>
          <w:lang w:val="it-CH" w:eastAsia="zh-CN" w:bidi="hi-IN"/>
        </w:rPr>
        <w:t>redigere lo HIA</w:t>
      </w:r>
      <w:r>
        <w:rPr>
          <w:rFonts w:ascii="Times New Roman" w:hAnsi="Times New Roman"/>
          <w:i w:val="false"/>
          <w:iCs w:val="false"/>
          <w:sz w:val="24"/>
          <w:szCs w:val="24"/>
          <w:shd w:fill="FFFFFF" w:val="clear"/>
        </w:rPr>
        <w:t xml:space="preserve">, </w:t>
      </w:r>
      <w:r>
        <w:rPr>
          <w:rFonts w:ascii="Times New Roman" w:hAnsi="Times New Roman"/>
          <w:i w:val="false"/>
          <w:iCs w:val="false"/>
          <w:sz w:val="24"/>
          <w:szCs w:val="24"/>
          <w:shd w:fill="FFFFFF" w:val="clear"/>
        </w:rPr>
        <w:t>sulla base de re</w:t>
      </w:r>
      <w:r>
        <w:rPr>
          <w:rFonts w:ascii="Times New Roman" w:hAnsi="Times New Roman"/>
          <w:i w:val="false"/>
          <w:iCs w:val="false"/>
          <w:sz w:val="24"/>
          <w:szCs w:val="24"/>
          <w:shd w:fill="FFFFFF" w:val="clear"/>
        </w:rPr>
        <w:t>golamento UNESCO.  La relazione arriva nel 2014, e dice in sostanza che la realizzazione della lottizzazione comporterebbe l’espulsione di Villa Adriana dal Patrimonio dell’Umanità.</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i w:val="false"/>
          <w:iCs w:val="false"/>
          <w:sz w:val="24"/>
          <w:szCs w:val="24"/>
          <w:shd w:fill="FFFFFF" w:val="clear"/>
        </w:rPr>
        <w:t>L</w:t>
      </w:r>
      <w:r>
        <w:rPr>
          <w:rFonts w:ascii="Times New Roman" w:hAnsi="Times New Roman"/>
          <w:i w:val="false"/>
          <w:iCs w:val="false"/>
          <w:sz w:val="24"/>
          <w:szCs w:val="24"/>
          <w:shd w:fill="FFFFFF" w:val="clear"/>
        </w:rPr>
        <w:t xml:space="preserve">a vicenda ebbe notevole risonanza nei media nazionali ed internazionali. </w:t>
      </w:r>
      <w:r>
        <w:rPr>
          <w:rFonts w:ascii="Times New Roman" w:hAnsi="Times New Roman"/>
          <w:i w:val="false"/>
          <w:iCs w:val="false"/>
          <w:sz w:val="24"/>
          <w:szCs w:val="24"/>
          <w:shd w:fill="FFFFFF" w:val="clear"/>
        </w:rPr>
        <w:t xml:space="preserve">Nel 2014 la nuova amministrazione del comune di Tivoli bloccò le opere di urbanizzazione preliminari </w:t>
      </w:r>
      <w:r>
        <w:rPr>
          <w:rFonts w:ascii="Times New Roman" w:hAnsi="Times New Roman"/>
          <w:i w:val="false"/>
          <w:iCs w:val="false"/>
          <w:sz w:val="24"/>
          <w:szCs w:val="24"/>
          <w:shd w:fill="FFFFFF" w:val="clear"/>
        </w:rPr>
        <w:t xml:space="preserve">della lottizzazione </w:t>
      </w:r>
      <w:r>
        <w:rPr>
          <w:rFonts w:ascii="Times New Roman" w:hAnsi="Times New Roman"/>
          <w:i w:val="false"/>
          <w:iCs w:val="false"/>
          <w:sz w:val="24"/>
          <w:szCs w:val="24"/>
          <w:shd w:fill="FFFFFF" w:val="clear"/>
        </w:rPr>
        <w:t xml:space="preserve">per ragioni di rischio idrogeologico.  </w:t>
      </w:r>
      <w:r>
        <w:rPr>
          <w:rFonts w:ascii="Times New Roman" w:hAnsi="Times New Roman"/>
          <w:i w:val="false"/>
          <w:iCs w:val="false"/>
          <w:sz w:val="24"/>
          <w:szCs w:val="24"/>
          <w:shd w:fill="FFFFFF" w:val="clear"/>
        </w:rPr>
        <w:t>Ci furono anche pubblici interventi de</w:t>
      </w:r>
      <w:r>
        <w:rPr>
          <w:rFonts w:ascii="Times New Roman" w:hAnsi="Times New Roman"/>
          <w:i w:val="false"/>
          <w:iCs w:val="false"/>
          <w:sz w:val="24"/>
          <w:szCs w:val="24"/>
          <w:shd w:fill="FFFFFF" w:val="clear"/>
        </w:rPr>
        <w:t xml:space="preserve">l </w:t>
      </w:r>
      <w:r>
        <w:rPr>
          <w:rFonts w:ascii="Times New Roman" w:hAnsi="Times New Roman"/>
          <w:i w:val="false"/>
          <w:iCs w:val="false"/>
          <w:sz w:val="24"/>
          <w:szCs w:val="24"/>
          <w:shd w:fill="FFFFFF" w:val="clear"/>
        </w:rPr>
        <w:t xml:space="preserve">MiBAC ed anche del ministro Franceschini, che dichiarò che la lottizzazione non si </w:t>
      </w:r>
      <w:r>
        <w:rPr>
          <w:rFonts w:ascii="Times New Roman" w:hAnsi="Times New Roman"/>
          <w:i w:val="false"/>
          <w:iCs w:val="false"/>
          <w:sz w:val="24"/>
          <w:szCs w:val="24"/>
          <w:shd w:fill="FFFFFF" w:val="clear"/>
        </w:rPr>
        <w:t>sarebbe fatta, promettendo anche</w:t>
      </w:r>
      <w:r>
        <w:rPr>
          <w:rFonts w:ascii="Times New Roman" w:hAnsi="Times New Roman"/>
          <w:i w:val="false"/>
          <w:iCs w:val="false"/>
          <w:sz w:val="24"/>
          <w:szCs w:val="24"/>
          <w:shd w:fill="FFFFFF" w:val="clear"/>
        </w:rPr>
        <w:t xml:space="preserve"> una legge per bloccarla.</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i w:val="false"/>
          <w:iCs w:val="false"/>
          <w:sz w:val="24"/>
          <w:szCs w:val="24"/>
          <w:shd w:fill="FFFFFF" w:val="clear"/>
        </w:rPr>
        <w:t xml:space="preserve">Ma passata l’attualità della vicenda tutto rimase come prima fino al 2022, quando l’impresa </w:t>
      </w:r>
      <w:r>
        <w:rPr>
          <w:rFonts w:eastAsia="SimSun" w:cs="Lucida Sans" w:ascii="Times New Roman" w:hAnsi="Times New Roman"/>
          <w:i w:val="false"/>
          <w:iCs w:val="false"/>
          <w:color w:val="000000"/>
          <w:kern w:val="2"/>
          <w:sz w:val="24"/>
          <w:szCs w:val="24"/>
          <w:shd w:fill="FFFFFF" w:val="clear"/>
          <w:lang w:val="it-CH" w:eastAsia="zh-CN" w:bidi="hi-IN"/>
        </w:rPr>
        <w:t>ottenne dal</w:t>
      </w:r>
      <w:r>
        <w:rPr>
          <w:rFonts w:ascii="Times New Roman" w:hAnsi="Times New Roman"/>
          <w:i w:val="false"/>
          <w:iCs w:val="false"/>
          <w:sz w:val="24"/>
          <w:szCs w:val="24"/>
          <w:shd w:fill="FFFFFF" w:val="clear"/>
        </w:rPr>
        <w:t xml:space="preserve"> T.A.R. </w:t>
      </w:r>
      <w:r>
        <w:rPr>
          <w:rFonts w:ascii="Times New Roman" w:hAnsi="Times New Roman"/>
          <w:i w:val="false"/>
          <w:iCs w:val="false"/>
          <w:sz w:val="24"/>
          <w:szCs w:val="24"/>
          <w:shd w:fill="FFFFFF" w:val="clear"/>
        </w:rPr>
        <w:t>del Lazio</w:t>
      </w:r>
      <w:r>
        <w:rPr>
          <w:rFonts w:ascii="Times New Roman" w:hAnsi="Times New Roman"/>
          <w:i w:val="false"/>
          <w:iCs w:val="false"/>
          <w:sz w:val="24"/>
          <w:szCs w:val="24"/>
          <w:shd w:fill="FFFFFF" w:val="clear"/>
        </w:rPr>
        <w:t xml:space="preserve"> l’annullamento </w:t>
      </w:r>
      <w:r>
        <w:rPr>
          <w:rFonts w:ascii="Times New Roman" w:hAnsi="Times New Roman"/>
          <w:i w:val="false"/>
          <w:iCs w:val="false"/>
          <w:sz w:val="24"/>
          <w:szCs w:val="24"/>
          <w:shd w:fill="FFFFFF" w:val="clear"/>
        </w:rPr>
        <w:t>dell’ordinanza del sindaco del 2014,</w:t>
      </w:r>
      <w:r>
        <w:rPr>
          <w:rFonts w:ascii="Times New Roman" w:hAnsi="Times New Roman"/>
          <w:i w:val="false"/>
          <w:iCs w:val="false"/>
          <w:sz w:val="24"/>
          <w:szCs w:val="24"/>
          <w:shd w:fill="FFFFFF" w:val="clear"/>
        </w:rPr>
        <w:t xml:space="preserve"> rimettendo in discussione la lottizzazione. </w:t>
      </w:r>
      <w:r>
        <w:rPr>
          <w:rFonts w:ascii="Times New Roman" w:hAnsi="Times New Roman"/>
          <w:i w:val="false"/>
          <w:iCs w:val="false"/>
          <w:sz w:val="24"/>
          <w:szCs w:val="24"/>
          <w:shd w:fill="FFFFFF" w:val="clear"/>
        </w:rPr>
        <w:t xml:space="preserve">Italia Nostra chiese al T.A.R., tramite l’avvocato Domenico Cagnucci, la discussione del ricorso presentato nel 2012. </w:t>
      </w:r>
      <w:r>
        <w:rPr>
          <w:rFonts w:ascii="Times New Roman" w:hAnsi="Times New Roman"/>
          <w:i w:val="false"/>
          <w:iCs w:val="false"/>
          <w:sz w:val="24"/>
          <w:szCs w:val="24"/>
          <w:shd w:fill="FFFFFF" w:val="clear"/>
        </w:rPr>
        <w:t>L</w:t>
      </w:r>
      <w:r>
        <w:rPr>
          <w:rFonts w:ascii="Times New Roman" w:hAnsi="Times New Roman"/>
          <w:b w:val="false"/>
          <w:bCs w:val="false"/>
          <w:i w:val="false"/>
          <w:iCs w:val="false"/>
          <w:sz w:val="24"/>
          <w:szCs w:val="24"/>
          <w:shd w:fill="FFFFFF" w:val="clear"/>
        </w:rPr>
        <w:t>’</w:t>
      </w:r>
      <w:r>
        <w:rPr>
          <w:rFonts w:ascii="Times New Roman" w:hAnsi="Times New Roman"/>
          <w:i w:val="false"/>
          <w:iCs w:val="false"/>
          <w:sz w:val="24"/>
          <w:szCs w:val="24"/>
          <w:shd w:fill="FFFFFF" w:val="clear"/>
        </w:rPr>
        <w:t>udienza si è tenuta</w:t>
      </w:r>
      <w:r>
        <w:rPr>
          <w:rFonts w:ascii="Times New Roman" w:hAnsi="Times New Roman"/>
          <w:i w:val="false"/>
          <w:iCs w:val="false"/>
          <w:sz w:val="24"/>
          <w:szCs w:val="24"/>
          <w:shd w:fill="FFFFFF" w:val="clear"/>
        </w:rPr>
        <w:t xml:space="preserve"> lo scorso Febbraio.</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sz w:val="24"/>
          <w:szCs w:val="24"/>
        </w:rPr>
        <w:t>Lunedì 20 marzo è stata pubblicata la sentenza del T.A.R. del Lazio che accoglie la richiesta presentata dall</w:t>
      </w:r>
      <w:r>
        <w:rPr>
          <w:rFonts w:ascii="Times New Roman" w:hAnsi="Times New Roman"/>
          <w:i w:val="false"/>
          <w:iCs w:val="false"/>
          <w:sz w:val="24"/>
          <w:szCs w:val="24"/>
          <w:shd w:fill="FFFFFF" w:val="clear"/>
        </w:rPr>
        <w:t>’</w:t>
      </w:r>
      <w:r>
        <w:rPr>
          <w:rFonts w:ascii="Times New Roman" w:hAnsi="Times New Roman"/>
          <w:sz w:val="24"/>
          <w:szCs w:val="24"/>
        </w:rPr>
        <w:t xml:space="preserve">avv. Domenico Cagnucci per Italia Nostra nel 2012 per l’annullamento delle delibere del consiglio comunale di Tivoli </w:t>
      </w:r>
      <w:r>
        <w:rPr>
          <w:rFonts w:ascii="Times New Roman" w:hAnsi="Times New Roman"/>
          <w:sz w:val="24"/>
          <w:szCs w:val="24"/>
        </w:rPr>
        <w:t xml:space="preserve">del </w:t>
      </w:r>
      <w:r>
        <w:rPr>
          <w:rFonts w:ascii="Times New Roman" w:hAnsi="Times New Roman"/>
          <w:sz w:val="24"/>
          <w:szCs w:val="24"/>
        </w:rPr>
        <w:t xml:space="preserve">2011 e  del 2008, nonché del parere paesaggistico della </w:t>
      </w:r>
      <w:r>
        <w:rPr>
          <w:rFonts w:ascii="Times New Roman" w:hAnsi="Times New Roman"/>
          <w:sz w:val="24"/>
          <w:szCs w:val="24"/>
          <w:shd w:fill="FFFFFF" w:val="clear"/>
        </w:rPr>
        <w:t xml:space="preserve">Direzione Regionale Territorio e Urbanistica, </w:t>
      </w:r>
      <w:r>
        <w:rPr>
          <w:rFonts w:ascii="Times New Roman" w:hAnsi="Times New Roman"/>
          <w:sz w:val="24"/>
          <w:szCs w:val="24"/>
        </w:rPr>
        <w:t xml:space="preserve">che autorizzano il </w:t>
      </w:r>
      <w:r>
        <w:rPr>
          <w:rFonts w:ascii="Times New Roman" w:hAnsi="Times New Roman"/>
          <w:i/>
          <w:iCs/>
          <w:sz w:val="24"/>
          <w:szCs w:val="24"/>
          <w:shd w:fill="FFFFFF" w:val="clear"/>
        </w:rPr>
        <w:t xml:space="preserve">Piano di Lottizzazione – comprensorio di Ponte Lucano – sottozona C2 – 3 di PRG, località Villa Adriana. </w:t>
      </w:r>
      <w:r>
        <w:rPr>
          <w:rFonts w:ascii="Times New Roman" w:hAnsi="Times New Roman"/>
          <w:sz w:val="24"/>
          <w:szCs w:val="24"/>
          <w:shd w:fill="FFFFFF" w:val="clear"/>
        </w:rPr>
        <w:t xml:space="preserve">Il punto fondamentale della sentenza del T.A.R. consiste nel fatto che il Comune di Tivoli e la Direzione Regionale Territorio ed Urbanistica </w:t>
      </w:r>
      <w:r>
        <w:rPr>
          <w:rFonts w:ascii="Times New Roman" w:hAnsi="Times New Roman"/>
          <w:sz w:val="24"/>
          <w:szCs w:val="24"/>
          <w:shd w:fill="FFFFFF" w:val="clear"/>
        </w:rPr>
        <w:t xml:space="preserve">non </w:t>
      </w:r>
      <w:r>
        <w:rPr>
          <w:rFonts w:ascii="Times New Roman" w:hAnsi="Times New Roman"/>
          <w:sz w:val="24"/>
          <w:szCs w:val="24"/>
          <w:shd w:fill="FFFFFF" w:val="clear"/>
        </w:rPr>
        <w:t>hanno tenuto conto</w:t>
      </w:r>
      <w:r>
        <w:rPr>
          <w:rFonts w:ascii="Times New Roman" w:hAnsi="Times New Roman"/>
          <w:sz w:val="24"/>
          <w:szCs w:val="24"/>
          <w:shd w:fill="FFFFFF" w:val="clear"/>
        </w:rPr>
        <w:t xml:space="preserve"> che il vincolo riportato nel PTPR  non consentiva la lottizzazione. Un fatto, per la verità, piuttosto sorprendente. </w:t>
      </w:r>
    </w:p>
    <w:p>
      <w:pPr>
        <w:pStyle w:val="Normal"/>
        <w:bidi w:val="0"/>
        <w:jc w:val="left"/>
        <w:rPr>
          <w:shd w:fill="FFFFFF" w:val="clear"/>
        </w:rPr>
      </w:pPr>
      <w:r>
        <w:rPr>
          <w:rFonts w:ascii="Times New Roman" w:hAnsi="Times New Roman"/>
          <w:i w:val="false"/>
          <w:iCs w:val="false"/>
          <w:sz w:val="24"/>
          <w:szCs w:val="24"/>
          <w:shd w:fill="FFFFFF" w:val="clear"/>
        </w:rPr>
        <w:t xml:space="preserve"> </w:t>
      </w:r>
    </w:p>
    <w:p>
      <w:pPr>
        <w:pStyle w:val="Normal"/>
        <w:bidi w:val="0"/>
        <w:jc w:val="left"/>
        <w:rPr>
          <w:rFonts w:ascii="Times New Roman" w:hAnsi="Times New Roman"/>
          <w:sz w:val="24"/>
          <w:szCs w:val="24"/>
        </w:rPr>
      </w:pPr>
      <w:r>
        <w:rPr>
          <w:rFonts w:ascii="Times New Roman" w:hAnsi="Times New Roman"/>
          <w:i w:val="false"/>
          <w:iCs w:val="false"/>
          <w:sz w:val="24"/>
          <w:szCs w:val="24"/>
          <w:shd w:fill="FFFFFF" w:val="clear"/>
        </w:rPr>
        <w:t xml:space="preserve">La questione del futuro di Villa Adriana è in realtà ancora aperta, perché è </w:t>
      </w:r>
      <w:r>
        <w:rPr>
          <w:rFonts w:eastAsia="SimSun" w:cs="Lucida Sans" w:ascii="Times New Roman" w:hAnsi="Times New Roman"/>
          <w:i w:val="false"/>
          <w:iCs w:val="false"/>
          <w:color w:val="000000"/>
          <w:kern w:val="2"/>
          <w:sz w:val="24"/>
          <w:szCs w:val="24"/>
          <w:shd w:fill="FFFFFF" w:val="clear"/>
          <w:lang w:val="it-CH" w:eastAsia="zh-CN" w:bidi="hi-IN"/>
        </w:rPr>
        <w:t>tuttora</w:t>
      </w:r>
      <w:r>
        <w:rPr>
          <w:rFonts w:ascii="Times New Roman" w:hAnsi="Times New Roman"/>
          <w:i w:val="false"/>
          <w:iCs w:val="false"/>
          <w:sz w:val="24"/>
          <w:szCs w:val="24"/>
          <w:shd w:fill="FFFFFF" w:val="clear"/>
        </w:rPr>
        <w:t xml:space="preserve"> in via di realizzazione il piano di gestione dell’area buffer. Nelle norme del PTPR si dice chiaramente, a proposito dell’area </w:t>
      </w:r>
      <w:r>
        <w:rPr>
          <w:rFonts w:ascii="Times New Roman" w:hAnsi="Times New Roman"/>
          <w:i w:val="false"/>
          <w:iCs w:val="false"/>
          <w:sz w:val="24"/>
          <w:szCs w:val="24"/>
          <w:shd w:fill="FFFFFF" w:val="clear"/>
        </w:rPr>
        <w:t>buffer di</w:t>
      </w:r>
      <w:r>
        <w:rPr>
          <w:rFonts w:ascii="Times New Roman" w:hAnsi="Times New Roman"/>
          <w:i w:val="false"/>
          <w:iCs w:val="false"/>
          <w:sz w:val="24"/>
          <w:szCs w:val="24"/>
          <w:shd w:fill="FFFFFF" w:val="clear"/>
        </w:rPr>
        <w:t xml:space="preserve"> Villa Adriana: </w:t>
      </w:r>
      <w:r>
        <w:rPr>
          <w:rFonts w:ascii="Times New Roman" w:hAnsi="Times New Roman"/>
          <w:i/>
          <w:iCs/>
          <w:sz w:val="24"/>
          <w:szCs w:val="24"/>
          <w:shd w:fill="FFFFFF" w:val="clear"/>
        </w:rPr>
        <w:t xml:space="preserve">si propone al comune la parziale delocalizzazione degli insediamenti previsti, nonché l’attivazione di programmi di intervento di cui all’art. 31 bis della legge regionale n. 24/98 d’intesa con il Ministero dei Beni Culturali.” </w:t>
      </w:r>
    </w:p>
    <w:p>
      <w:pPr>
        <w:pStyle w:val="Normal"/>
        <w:bidi w:val="0"/>
        <w:jc w:val="left"/>
        <w:rPr>
          <w:rFonts w:ascii="Times New Roman" w:hAnsi="Times New Roman"/>
          <w:sz w:val="24"/>
          <w:szCs w:val="24"/>
        </w:rPr>
      </w:pPr>
      <w:r>
        <w:rPr/>
      </w:r>
    </w:p>
    <w:p>
      <w:pPr>
        <w:pStyle w:val="Normal"/>
        <w:bidi w:val="0"/>
        <w:jc w:val="left"/>
        <w:rPr>
          <w:rFonts w:ascii="Times New Roman" w:hAnsi="Times New Roman"/>
          <w:sz w:val="24"/>
          <w:szCs w:val="24"/>
        </w:rPr>
      </w:pPr>
      <w:r>
        <w:rPr>
          <w:rFonts w:ascii="Times New Roman" w:hAnsi="Times New Roman"/>
          <w:b w:val="false"/>
          <w:bCs w:val="false"/>
          <w:i w:val="false"/>
          <w:iCs w:val="false"/>
          <w:sz w:val="24"/>
          <w:szCs w:val="24"/>
          <w:shd w:fill="FFFFFF" w:val="clear"/>
        </w:rPr>
        <w:t>Il T.A.R. in sostanza afferma che l</w:t>
      </w:r>
      <w:r>
        <w:rPr>
          <w:rFonts w:ascii="Times New Roman" w:hAnsi="Times New Roman"/>
          <w:b w:val="false"/>
          <w:bCs w:val="false"/>
          <w:i w:val="false"/>
          <w:iCs w:val="false"/>
          <w:sz w:val="24"/>
          <w:szCs w:val="24"/>
          <w:shd w:fill="FFFFFF" w:val="clear"/>
        </w:rPr>
        <w:t>’</w:t>
      </w:r>
      <w:r>
        <w:rPr>
          <w:rFonts w:ascii="Times New Roman" w:hAnsi="Times New Roman"/>
          <w:b w:val="false"/>
          <w:bCs w:val="false"/>
          <w:i w:val="false"/>
          <w:iCs w:val="false"/>
          <w:sz w:val="24"/>
          <w:szCs w:val="24"/>
          <w:shd w:fill="FFFFFF" w:val="clear"/>
        </w:rPr>
        <w:t>impresa mantiene il diritto acquisto a costruire, che dovrà essere spostato in altro luogo. Inoltre il comune, d</w:t>
      </w:r>
      <w:r>
        <w:rPr>
          <w:rFonts w:ascii="Times New Roman" w:hAnsi="Times New Roman"/>
          <w:b w:val="false"/>
          <w:bCs w:val="false"/>
          <w:i w:val="false"/>
          <w:iCs w:val="false"/>
          <w:sz w:val="24"/>
          <w:szCs w:val="24"/>
          <w:shd w:fill="FFFFFF" w:val="clear"/>
        </w:rPr>
        <w:t>’</w:t>
      </w:r>
      <w:r>
        <w:rPr>
          <w:rFonts w:ascii="Times New Roman" w:hAnsi="Times New Roman"/>
          <w:b w:val="false"/>
          <w:bCs w:val="false"/>
          <w:i w:val="false"/>
          <w:iCs w:val="false"/>
          <w:sz w:val="24"/>
          <w:szCs w:val="24"/>
          <w:shd w:fill="FFFFFF" w:val="clear"/>
        </w:rPr>
        <w:t>intesa con il ministero, dovrà decidere della gestione dell</w:t>
      </w:r>
      <w:r>
        <w:rPr>
          <w:rFonts w:ascii="Times New Roman" w:hAnsi="Times New Roman"/>
          <w:b w:val="false"/>
          <w:bCs w:val="false"/>
          <w:i w:val="false"/>
          <w:iCs w:val="false"/>
          <w:sz w:val="24"/>
          <w:szCs w:val="24"/>
          <w:shd w:fill="FFFFFF" w:val="clear"/>
        </w:rPr>
        <w:t>’</w:t>
      </w:r>
      <w:r>
        <w:rPr>
          <w:rFonts w:ascii="Times New Roman" w:hAnsi="Times New Roman"/>
          <w:b w:val="false"/>
          <w:bCs w:val="false"/>
          <w:i w:val="false"/>
          <w:iCs w:val="false"/>
          <w:sz w:val="24"/>
          <w:szCs w:val="24"/>
          <w:shd w:fill="FFFFFF" w:val="clear"/>
        </w:rPr>
        <w:t xml:space="preserve">area ormai non più edificabile. </w:t>
      </w:r>
      <w:r>
        <w:rPr>
          <w:rFonts w:ascii="Times New Roman" w:hAnsi="Times New Roman"/>
          <w:b w:val="false"/>
          <w:bCs w:val="false"/>
          <w:i w:val="false"/>
          <w:iCs w:val="false"/>
          <w:sz w:val="24"/>
          <w:szCs w:val="24"/>
          <w:shd w:fill="FFFFFF" w:val="clear"/>
        </w:rPr>
        <w:t>E’</w:t>
      </w:r>
      <w:r>
        <w:rPr>
          <w:rFonts w:ascii="Times New Roman" w:hAnsi="Times New Roman"/>
          <w:i w:val="false"/>
          <w:iCs w:val="false"/>
          <w:sz w:val="24"/>
          <w:szCs w:val="24"/>
          <w:shd w:fill="FFFFFF" w:val="clear"/>
        </w:rPr>
        <w:t xml:space="preserve"> sperabile chi si riesca ad avviare rapidamente un’intesa con il ministero per la realizzazione di un’area buffer funzionale alla valorizzazione della Villa Adriana. </w:t>
      </w:r>
      <w:r>
        <w:rPr>
          <w:rFonts w:ascii="Times New Roman" w:hAnsi="Times New Roman"/>
          <w:i w:val="false"/>
          <w:iCs w:val="false"/>
          <w:sz w:val="24"/>
          <w:szCs w:val="24"/>
          <w:shd w:fill="FFFFFF" w:val="clear"/>
        </w:rPr>
        <w:t>Italia Nostra chiederà, come suggerito dalla sentenza del T.A.R. di intervenire nel processo di definizione della gestione dell</w:t>
      </w:r>
      <w:r>
        <w:rPr>
          <w:rFonts w:ascii="Times New Roman" w:hAnsi="Times New Roman"/>
          <w:i w:val="false"/>
          <w:iCs w:val="false"/>
          <w:sz w:val="24"/>
          <w:szCs w:val="24"/>
          <w:shd w:fill="FFFFFF" w:val="clear"/>
        </w:rPr>
        <w:t>’</w:t>
      </w:r>
      <w:r>
        <w:rPr>
          <w:rFonts w:ascii="Times New Roman" w:hAnsi="Times New Roman"/>
          <w:i w:val="false"/>
          <w:iCs w:val="false"/>
          <w:sz w:val="24"/>
          <w:szCs w:val="24"/>
          <w:shd w:fill="FFFFFF" w:val="clear"/>
        </w:rPr>
        <w:t>area</w:t>
      </w:r>
    </w:p>
    <w:p>
      <w:pPr>
        <w:pStyle w:val="Normal"/>
        <w:bidi w:val="0"/>
        <w:jc w:val="left"/>
        <w:rPr>
          <w:i/>
          <w:i/>
          <w:iCs/>
          <w:shd w:fill="FFFFFF" w:val="clear"/>
        </w:rPr>
      </w:pPr>
      <w:r>
        <w:rPr>
          <w:i/>
          <w:iCs/>
          <w:shd w:fill="FFFFFF" w:val="clear"/>
        </w:rPr>
      </w:r>
    </w:p>
    <w:p>
      <w:pPr>
        <w:pStyle w:val="Normal"/>
        <w:bidi w:val="0"/>
        <w:jc w:val="left"/>
        <w:rPr>
          <w:rFonts w:ascii="Times New Roman" w:hAnsi="Times New Roman"/>
          <w:i w:val="false"/>
          <w:i w:val="false"/>
          <w:iCs w:val="false"/>
          <w:sz w:val="24"/>
          <w:szCs w:val="24"/>
        </w:rPr>
      </w:pPr>
      <w:r>
        <w:rPr>
          <w:rFonts w:ascii="Times New Roman" w:hAnsi="Times New Roman"/>
          <w:i w:val="false"/>
          <w:iCs w:val="false"/>
          <w:sz w:val="24"/>
          <w:szCs w:val="24"/>
          <w:shd w:fill="FFFFFF" w:val="clear"/>
        </w:rPr>
        <w:t>Carlo Boldrighini, presidente della sezione «Aniene e Monti Lucretili» di Italia Nostra.</w:t>
      </w:r>
    </w:p>
    <w:p>
      <w:pPr>
        <w:pStyle w:val="Normal"/>
        <w:bidi w:val="0"/>
        <w:jc w:val="left"/>
        <w:rPr>
          <w:i/>
          <w:i/>
          <w:iCs/>
          <w:shd w:fill="FFFFFF" w:val="clear"/>
        </w:rPr>
      </w:pPr>
      <w:r>
        <w:rPr>
          <w:i/>
          <w:iCs/>
          <w:shd w:fill="FFFFFF" w:val="clear"/>
        </w:rPr>
      </w:r>
    </w:p>
    <w:p>
      <w:pPr>
        <w:pStyle w:val="Normal"/>
        <w:bidi w:val="0"/>
        <w:jc w:val="left"/>
        <w:rPr>
          <w:i w:val="false"/>
          <w:i w:val="false"/>
          <w:iCs w:val="false"/>
          <w:sz w:val="24"/>
          <w:szCs w:val="24"/>
          <w:shd w:fill="FFFFFF" w:val="clear"/>
        </w:rPr>
      </w:pPr>
      <w:r>
        <w:rPr>
          <w:i w:val="false"/>
          <w:iCs w:val="false"/>
          <w:sz w:val="24"/>
          <w:szCs w:val="24"/>
          <w:shd w:fill="FFFFFF" w:val="clear"/>
        </w:rPr>
      </w:r>
    </w:p>
    <w:p>
      <w:pPr>
        <w:pStyle w:val="Normal"/>
        <w:bidi w:val="0"/>
        <w:jc w:val="left"/>
        <w:rPr>
          <w:rFonts w:ascii="Times New Roman" w:hAnsi="Times New Roman"/>
          <w:sz w:val="24"/>
        </w:rPr>
      </w:pPr>
      <w:r>
        <w:rPr>
          <w:rFonts w:ascii="TrebuchetMS" w:hAnsi="TrebuchetMS"/>
          <w:color w:val="494949"/>
          <w:sz w:val="16"/>
          <w:shd w:fill="FFFFFF" w:val="clear"/>
        </w:rPr>
        <w:t xml:space="preserve"> </w:t>
      </w:r>
    </w:p>
    <w:p>
      <w:pPr>
        <w:pStyle w:val="Normal"/>
        <w:bidi w:val="0"/>
        <w:jc w:val="left"/>
        <w:rPr>
          <w:rFonts w:ascii="Times New Roman" w:hAnsi="Times New Roman"/>
          <w:i w:val="false"/>
          <w:i w:val="false"/>
          <w:iCs w:val="false"/>
          <w:sz w:val="24"/>
          <w:szCs w:val="24"/>
        </w:rPr>
      </w:pPr>
      <w:r>
        <w:rPr>
          <w:rFonts w:ascii="Times New Roman" w:hAnsi="Times New Roman"/>
          <w:i w:val="false"/>
          <w:iCs w:val="false"/>
          <w:color w:val="494949"/>
          <w:sz w:val="24"/>
          <w:szCs w:val="24"/>
          <w:shd w:fill="FFFFFF" w:val="clear"/>
        </w:rPr>
        <w:t xml:space="preserve"> </w:t>
      </w:r>
    </w:p>
    <w:p>
      <w:pPr>
        <w:pStyle w:val="Normal"/>
        <w:bidi w:val="0"/>
        <w:jc w:val="left"/>
        <w:rPr>
          <w:rFonts w:ascii="TimesNewRomanPSMT" w:hAnsi="TimesNewRomanPSMT"/>
          <w:i/>
          <w:i/>
          <w:iCs/>
          <w:sz w:val="30"/>
          <w:szCs w:val="24"/>
          <w:shd w:fill="FFFFFF" w:val="clear"/>
        </w:rPr>
      </w:pPr>
      <w:r>
        <w:rPr>
          <w:rFonts w:ascii="TimesNewRomanPSMT" w:hAnsi="TimesNewRomanPSMT"/>
          <w:i/>
          <w:iCs/>
          <w:sz w:val="30"/>
          <w:szCs w:val="24"/>
          <w:shd w:fill="FFFFFF" w:val="clear"/>
        </w:rPr>
      </w:r>
    </w:p>
    <w:p>
      <w:pPr>
        <w:pStyle w:val="Normal"/>
        <w:bidi w:val="0"/>
        <w:jc w:val="left"/>
        <w:rPr>
          <w:rFonts w:ascii="TimesNewRomanPSMT" w:hAnsi="TimesNewRomanPSMT"/>
          <w:i/>
          <w:i/>
          <w:iCs/>
          <w:sz w:val="30"/>
          <w:shd w:fill="FFFFFF" w:val="clear"/>
        </w:rPr>
      </w:pPr>
      <w:r>
        <w:rPr>
          <w:rFonts w:ascii="TimesNewRomanPSMT" w:hAnsi="TimesNewRomanPSMT"/>
          <w:i/>
          <w:iCs/>
          <w:sz w:val="30"/>
          <w:shd w:fill="FFFFFF" w:val="clear"/>
        </w:rPr>
      </w:r>
    </w:p>
    <w:p>
      <w:pPr>
        <w:pStyle w:val="Normal"/>
        <w:bidi w:val="0"/>
        <w:jc w:val="left"/>
        <w:rPr/>
      </w:pPr>
      <w:r>
        <w:rPr>
          <w:rFonts w:ascii="TimesNewRomanPSMT" w:hAnsi="TimesNewRomanPSMT"/>
          <w:i/>
          <w:iCs/>
          <w:sz w:val="30"/>
          <w:shd w:fill="FFFFFF" w:val="clear"/>
        </w:rPr>
        <w:t xml:space="preserve"> </w:t>
      </w:r>
    </w:p>
    <w:p>
      <w:pPr>
        <w:pStyle w:val="Normal"/>
        <w:bidi w:val="0"/>
        <w:jc w:val="left"/>
        <w:rPr>
          <w:rFonts w:ascii="TimesNewRomanPSMT" w:hAnsi="TimesNewRomanPSMT"/>
          <w:i/>
          <w:i/>
          <w:iCs/>
          <w:sz w:val="30"/>
          <w:shd w:fill="FFFFFF" w:val="clear"/>
        </w:rPr>
      </w:pPr>
      <w:r>
        <w:rPr>
          <w:rFonts w:ascii="TimesNewRomanPSMT" w:hAnsi="TimesNewRomanPSMT"/>
          <w:i/>
          <w:iCs/>
          <w:sz w:val="30"/>
          <w:shd w:fill="FFFFFF" w:val="clear"/>
        </w:rPr>
      </w:r>
    </w:p>
    <w:p>
      <w:pPr>
        <w:pStyle w:val="Normal"/>
        <w:bidi w:val="0"/>
        <w:jc w:val="left"/>
        <w:rPr/>
      </w:pPr>
      <w:r>
        <w:rPr>
          <w:rFonts w:ascii="TimesNewRomanPSMT" w:hAnsi="TimesNewRomanPSMT"/>
          <w:i/>
          <w:iCs/>
          <w:sz w:val="30"/>
          <w:shd w:fill="FFFFFF" w:val="clear"/>
        </w:rPr>
        <w:t xml:space="preserve"> </w:t>
      </w:r>
    </w:p>
    <w:p>
      <w:pPr>
        <w:pStyle w:val="Normal"/>
        <w:bidi w:val="0"/>
        <w:jc w:val="left"/>
        <w:rPr>
          <w:rFonts w:ascii="TimesNewRomanPSMT" w:hAnsi="TimesNewRomanPSMT"/>
          <w:i/>
          <w:i/>
          <w:iCs/>
          <w:sz w:val="30"/>
          <w:shd w:fill="FFFFFF" w:val="clear"/>
        </w:rPr>
      </w:pPr>
      <w:r>
        <w:rPr>
          <w:rFonts w:ascii="TimesNewRomanPSMT" w:hAnsi="TimesNewRomanPSMT"/>
          <w:i/>
          <w:iCs/>
          <w:sz w:val="30"/>
          <w:shd w:fill="FFFFFF" w:val="clear"/>
        </w:rPr>
      </w:r>
    </w:p>
    <w:p>
      <w:pPr>
        <w:pStyle w:val="Normal"/>
        <w:bidi w:val="0"/>
        <w:jc w:val="left"/>
        <w:rPr>
          <w:shd w:fill="FFFFFF" w:val="clear"/>
        </w:rPr>
      </w:pPr>
      <w:r>
        <w:rPr>
          <w:shd w:fill="FFFFFF" w:val="clear"/>
        </w:rPr>
      </w:r>
    </w:p>
    <w:p>
      <w:pPr>
        <w:pStyle w:val="Normal"/>
        <w:bidi w:val="0"/>
        <w:jc w:val="left"/>
        <w:rPr>
          <w:shd w:fill="FFFFFF" w:val="clear"/>
        </w:rPr>
      </w:pPr>
      <w:r>
        <w:rPr>
          <w:shd w:fill="FFFFFF" w:val="clear"/>
        </w:rPr>
      </w:r>
    </w:p>
    <w:p>
      <w:pPr>
        <w:pStyle w:val="Normal"/>
        <w:bidi w:val="0"/>
        <w:jc w:val="left"/>
        <w:rPr/>
      </w:pPr>
      <w:r>
        <w:rPr>
          <w:shd w:fill="FFFFFF" w:val="clear"/>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TimesNewRomanPSMT">
    <w:charset w:val="01"/>
    <w:family w:val="roman"/>
    <w:pitch w:val="variable"/>
  </w:font>
  <w:font w:name="TrebuchetMS">
    <w:charset w:val="01"/>
    <w:family w:val="roman"/>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it-CH"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Lucida Sans"/>
      <w:color w:val="auto"/>
      <w:kern w:val="2"/>
      <w:sz w:val="24"/>
      <w:szCs w:val="24"/>
      <w:lang w:val="it-CH"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301</TotalTime>
  <Application>LibreOffice/7.0.1.2$MacOSX_X86_64 LibreOffice_project/7cbcfc562f6eb6708b5ff7d7397325de9e764452</Application>
  <Pages>2</Pages>
  <Words>680</Words>
  <Characters>3942</Characters>
  <CharactersWithSpaces>4635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2023-03-20T22:09:31Z</dcterms:created>
  <dc:creator/>
  <dc:description/>
  <dc:language>it-CH</dc:language>
  <cp:lastModifiedBy/>
  <dcterms:modified xsi:type="dcterms:W3CDTF">2023-03-24T19:20:07Z</dcterms:modified>
  <cp:revision>21</cp:revision>
  <dc:subject/>
  <dc:title/>
</cp:coreProperties>
</file>