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71" w:rsidRDefault="00EC6D71" w:rsidP="00CA2993">
      <w:pPr>
        <w:spacing w:after="0"/>
        <w:jc w:val="both"/>
      </w:pPr>
    </w:p>
    <w:p w:rsidR="00F10560" w:rsidRPr="00ED5226" w:rsidRDefault="00F10560" w:rsidP="00F10560">
      <w:pPr>
        <w:pStyle w:val="Data"/>
        <w:ind w:left="2832" w:firstLine="708"/>
      </w:pPr>
      <w:r w:rsidRPr="0004556B">
        <w:rPr>
          <w:noProof/>
          <w:lang w:eastAsia="it-IT"/>
        </w:rPr>
        <w:drawing>
          <wp:inline distT="0" distB="0" distL="0" distR="0">
            <wp:extent cx="1123950" cy="602378"/>
            <wp:effectExtent l="0" t="0" r="0" b="0"/>
            <wp:docPr id="1" name="Immagine 1" descr="ridimens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dimens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04" cy="60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60" w:rsidRDefault="00F10560" w:rsidP="00F10560">
      <w:pPr>
        <w:spacing w:after="0" w:line="240" w:lineRule="auto"/>
        <w:rPr>
          <w:rFonts w:ascii="Arial" w:hAnsi="Arial" w:cs="Arial"/>
          <w:shadow/>
          <w:color w:val="808080"/>
          <w:sz w:val="16"/>
          <w:szCs w:val="16"/>
        </w:rPr>
      </w:pPr>
      <w:r>
        <w:rPr>
          <w:rFonts w:ascii="Bodoni MT Black" w:hAnsi="Bodoni MT Black"/>
          <w:b/>
          <w:shadow/>
          <w:color w:val="777777"/>
          <w:sz w:val="13"/>
          <w:szCs w:val="13"/>
        </w:rPr>
        <w:t xml:space="preserve">      </w:t>
      </w:r>
      <w:r>
        <w:rPr>
          <w:rFonts w:ascii="Bodoni MT Black" w:hAnsi="Bodoni MT Black"/>
          <w:b/>
          <w:shadow/>
          <w:color w:val="777777"/>
          <w:sz w:val="13"/>
          <w:szCs w:val="13"/>
        </w:rPr>
        <w:tab/>
      </w:r>
      <w:r>
        <w:rPr>
          <w:rFonts w:ascii="Bodoni MT Black" w:hAnsi="Bodoni MT Black"/>
          <w:b/>
          <w:shadow/>
          <w:color w:val="777777"/>
          <w:sz w:val="13"/>
          <w:szCs w:val="13"/>
        </w:rPr>
        <w:tab/>
      </w:r>
      <w:r>
        <w:rPr>
          <w:rFonts w:ascii="Bodoni MT Black" w:hAnsi="Bodoni MT Black"/>
          <w:b/>
          <w:shadow/>
          <w:color w:val="777777"/>
          <w:sz w:val="13"/>
          <w:szCs w:val="13"/>
        </w:rPr>
        <w:tab/>
      </w:r>
      <w:r>
        <w:rPr>
          <w:rFonts w:ascii="Bodoni MT Black" w:hAnsi="Bodoni MT Black"/>
          <w:b/>
          <w:shadow/>
          <w:color w:val="777777"/>
          <w:sz w:val="13"/>
          <w:szCs w:val="13"/>
        </w:rPr>
        <w:tab/>
      </w:r>
      <w:r>
        <w:rPr>
          <w:rFonts w:ascii="Bodoni MT Black" w:hAnsi="Bodoni MT Black"/>
          <w:b/>
          <w:shadow/>
          <w:color w:val="777777"/>
          <w:sz w:val="13"/>
          <w:szCs w:val="13"/>
        </w:rPr>
        <w:tab/>
        <w:t xml:space="preserve"> SEZIONE DI PESCARA “LUCIA GORGONI”</w:t>
      </w:r>
    </w:p>
    <w:p w:rsidR="00F10560" w:rsidRDefault="00F10560" w:rsidP="00F10560">
      <w:pPr>
        <w:spacing w:after="0" w:line="240" w:lineRule="auto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</w:t>
      </w:r>
      <w:proofErr w:type="gramStart"/>
      <w:r>
        <w:rPr>
          <w:b/>
          <w:bCs/>
          <w:sz w:val="16"/>
        </w:rPr>
        <w:t>c</w:t>
      </w:r>
      <w:proofErr w:type="gramEnd"/>
      <w:r>
        <w:rPr>
          <w:b/>
          <w:bCs/>
          <w:sz w:val="16"/>
        </w:rPr>
        <w:t xml:space="preserve">/o Biblioteca “Falcone e Borsellino” viale G. Bovio, 446 </w:t>
      </w:r>
    </w:p>
    <w:p w:rsidR="00F10560" w:rsidRDefault="00F10560" w:rsidP="00F10560">
      <w:pPr>
        <w:spacing w:after="0" w:line="240" w:lineRule="auto"/>
        <w:rPr>
          <w:b/>
          <w:bCs/>
          <w:sz w:val="16"/>
          <w:u w:val="single"/>
        </w:rPr>
      </w:pPr>
      <w:r w:rsidRPr="00B653A0">
        <w:rPr>
          <w:b/>
          <w:bCs/>
          <w:sz w:val="16"/>
        </w:rPr>
        <w:t xml:space="preserve">      </w:t>
      </w:r>
      <w:r>
        <w:rPr>
          <w:b/>
          <w:bCs/>
          <w:sz w:val="16"/>
        </w:rPr>
        <w:t xml:space="preserve"> </w:t>
      </w:r>
      <w:r w:rsidRPr="00B653A0"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         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</w:t>
      </w:r>
      <w:proofErr w:type="gramStart"/>
      <w:r w:rsidRPr="00B653A0">
        <w:rPr>
          <w:b/>
          <w:bCs/>
          <w:sz w:val="16"/>
          <w:u w:val="single"/>
        </w:rPr>
        <w:t>6512</w:t>
      </w:r>
      <w:r>
        <w:rPr>
          <w:b/>
          <w:bCs/>
          <w:sz w:val="16"/>
          <w:u w:val="single"/>
        </w:rPr>
        <w:t xml:space="preserve">3 </w:t>
      </w:r>
      <w:r w:rsidRPr="00B653A0">
        <w:rPr>
          <w:b/>
          <w:bCs/>
          <w:sz w:val="16"/>
          <w:u w:val="single"/>
        </w:rPr>
        <w:t xml:space="preserve"> PESCARA</w:t>
      </w:r>
      <w:proofErr w:type="gramEnd"/>
      <w:r w:rsidRPr="00B653A0">
        <w:rPr>
          <w:b/>
          <w:bCs/>
          <w:sz w:val="16"/>
          <w:u w:val="single"/>
        </w:rPr>
        <w:t xml:space="preserve"> – Tel</w:t>
      </w:r>
      <w:r>
        <w:rPr>
          <w:b/>
          <w:bCs/>
          <w:sz w:val="16"/>
          <w:u w:val="single"/>
        </w:rPr>
        <w:t>. 085.2122710</w:t>
      </w:r>
    </w:p>
    <w:p w:rsidR="00F10560" w:rsidRDefault="00F10560" w:rsidP="00F10560">
      <w:pPr>
        <w:spacing w:after="0" w:line="240" w:lineRule="auto"/>
        <w:rPr>
          <w:bCs/>
          <w:sz w:val="18"/>
          <w:szCs w:val="18"/>
        </w:rPr>
      </w:pPr>
      <w:r>
        <w:rPr>
          <w:bCs/>
          <w:sz w:val="16"/>
        </w:rPr>
        <w:t xml:space="preserve">                    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</w:t>
      </w:r>
      <w:proofErr w:type="gramStart"/>
      <w:r w:rsidRPr="00B653A0">
        <w:rPr>
          <w:bCs/>
          <w:sz w:val="18"/>
          <w:szCs w:val="18"/>
        </w:rPr>
        <w:t xml:space="preserve">e-mail:  </w:t>
      </w:r>
      <w:hyperlink r:id="rId5" w:history="1">
        <w:r w:rsidRPr="00BF4AD2">
          <w:rPr>
            <w:rStyle w:val="Collegamentoipertestuale"/>
            <w:bCs/>
            <w:sz w:val="18"/>
            <w:szCs w:val="18"/>
          </w:rPr>
          <w:t>pescara@italianostra.org</w:t>
        </w:r>
        <w:proofErr w:type="gramEnd"/>
      </w:hyperlink>
    </w:p>
    <w:p w:rsidR="00EC6D71" w:rsidRDefault="00EC6D71" w:rsidP="00CA2993">
      <w:pPr>
        <w:spacing w:after="0"/>
        <w:jc w:val="both"/>
      </w:pPr>
    </w:p>
    <w:p w:rsidR="00EC6D71" w:rsidRDefault="00EC6D71" w:rsidP="00CA2993">
      <w:pPr>
        <w:spacing w:after="0"/>
        <w:jc w:val="both"/>
      </w:pPr>
    </w:p>
    <w:p w:rsidR="0069668E" w:rsidRPr="00F10560" w:rsidRDefault="00F10560" w:rsidP="00CA2993">
      <w:pPr>
        <w:spacing w:after="0"/>
        <w:jc w:val="both"/>
        <w:rPr>
          <w:b/>
        </w:rPr>
      </w:pPr>
      <w:r w:rsidRPr="00F10560">
        <w:rPr>
          <w:b/>
        </w:rPr>
        <w:t xml:space="preserve">                                                        </w:t>
      </w:r>
      <w:r w:rsidR="00727DF7" w:rsidRPr="00F10560">
        <w:rPr>
          <w:b/>
        </w:rPr>
        <w:t xml:space="preserve"> IL CASO DEL SUPERMERCATO E NON SOLO</w:t>
      </w:r>
    </w:p>
    <w:p w:rsidR="00CA2993" w:rsidRDefault="00FC1311" w:rsidP="00CA2993">
      <w:pPr>
        <w:spacing w:after="0"/>
        <w:jc w:val="both"/>
      </w:pPr>
      <w:r>
        <w:t xml:space="preserve">Il caso dell’ultimo supermercato che </w:t>
      </w:r>
      <w:r w:rsidR="00CA2993" w:rsidRPr="00B11C80">
        <w:t>si vuole</w:t>
      </w:r>
      <w:r>
        <w:t xml:space="preserve"> autorizzare in via Monte </w:t>
      </w:r>
      <w:proofErr w:type="spellStart"/>
      <w:r>
        <w:t>Faito</w:t>
      </w:r>
      <w:proofErr w:type="spellEnd"/>
      <w:r>
        <w:t>, in un quart</w:t>
      </w:r>
      <w:r w:rsidR="00EC6D71">
        <w:t xml:space="preserve">iere ormai densamente popolato </w:t>
      </w:r>
      <w:r>
        <w:t>formato da edilizia cooperativa e convenzionata che è sorta dagli anni ottanta ad oggi</w:t>
      </w:r>
      <w:r w:rsidR="00CA2993">
        <w:t>,</w:t>
      </w:r>
      <w:r>
        <w:t xml:space="preserve"> ci obbliga a considerazioni generali sulle storture della urbanistica cittadina mai affrontate e che giungono al pettine. L’area </w:t>
      </w:r>
      <w:r w:rsidRPr="00731C51">
        <w:t>fa</w:t>
      </w:r>
      <w:r w:rsidR="009870F7" w:rsidRPr="00731C51">
        <w:t>ceva</w:t>
      </w:r>
      <w:r w:rsidRPr="009870F7">
        <w:rPr>
          <w:color w:val="FF0000"/>
        </w:rPr>
        <w:t xml:space="preserve"> </w:t>
      </w:r>
      <w:r>
        <w:t>parte di un Piano per l’</w:t>
      </w:r>
      <w:r w:rsidR="00E0348A">
        <w:t>Edilizia Economica e Popolare (</w:t>
      </w:r>
      <w:r w:rsidR="009870F7">
        <w:t xml:space="preserve">P.E.E.P.) </w:t>
      </w:r>
      <w:r w:rsidR="009870F7" w:rsidRPr="00731C51">
        <w:t>sul</w:t>
      </w:r>
      <w:r>
        <w:t xml:space="preserve"> quale sono sorte anche le residenze circostanti. Come nella maggior parte dei </w:t>
      </w:r>
      <w:r w:rsidR="00FC316C">
        <w:t xml:space="preserve">casi i lotti furono acquistati </w:t>
      </w:r>
      <w:r>
        <w:t>diretta</w:t>
      </w:r>
      <w:r w:rsidR="00E0348A">
        <w:t>mente dai soggetti realizzatori</w:t>
      </w:r>
      <w:r>
        <w:t xml:space="preserve"> senza passare dalla preventiva acquisizione p</w:t>
      </w:r>
      <w:r w:rsidR="00CA2993">
        <w:t>ubblica; questo ha comportato (</w:t>
      </w:r>
      <w:r w:rsidR="00E0348A">
        <w:t xml:space="preserve">contro lo spirito e la </w:t>
      </w:r>
      <w:r>
        <w:t>lettera della legge) che all’epoca non furono acquisite le aree a servizi</w:t>
      </w:r>
      <w:r w:rsidR="00E0348A">
        <w:t xml:space="preserve"> e verde che quei </w:t>
      </w:r>
      <w:r w:rsidR="00B37B54">
        <w:t>P.E.E.P.</w:t>
      </w:r>
      <w:r w:rsidR="00CA2993">
        <w:t xml:space="preserve"> </w:t>
      </w:r>
      <w:r w:rsidR="00B37B54">
        <w:t>prevedevano, creando scompensi tra le proprietà e carenze nella dotazione di stand</w:t>
      </w:r>
      <w:r w:rsidR="00CA2993">
        <w:t xml:space="preserve">ard </w:t>
      </w:r>
      <w:r w:rsidR="00B37B54">
        <w:t>urbanistici. Per sanare questa realtà diffusa in tutti i Piani in cui restavano aree vi</w:t>
      </w:r>
      <w:r w:rsidR="00CA2993">
        <w:t>n</w:t>
      </w:r>
      <w:r w:rsidR="00B37B54">
        <w:t>colate ma non espropriate, si introdusse</w:t>
      </w:r>
      <w:r w:rsidR="00732C9E">
        <w:t xml:space="preserve"> nelle varianti successive al PRG</w:t>
      </w:r>
      <w:r w:rsidR="00CA2993">
        <w:t xml:space="preserve"> una zona urbanistica nuova (</w:t>
      </w:r>
      <w:r w:rsidR="00B37B54">
        <w:t xml:space="preserve">la zona </w:t>
      </w:r>
      <w:r w:rsidR="00373E8A">
        <w:t>B</w:t>
      </w:r>
      <w:r w:rsidR="00B37B54">
        <w:t>10) per consentire la edificazione NON residenziale</w:t>
      </w:r>
      <w:r w:rsidR="00CA2993">
        <w:t>,</w:t>
      </w:r>
      <w:r w:rsidR="00B37B54">
        <w:t xml:space="preserve"> a fronte della cessione almeno di</w:t>
      </w:r>
      <w:r w:rsidR="009870F7">
        <w:t xml:space="preserve"> una quota di aree al pubblico.</w:t>
      </w:r>
      <w:r w:rsidR="00EC6D71">
        <w:t xml:space="preserve"> </w:t>
      </w:r>
      <w:r w:rsidR="00732C9E">
        <w:t xml:space="preserve">Si comprende come questa norma accetta a priori la cancellazione </w:t>
      </w:r>
      <w:r w:rsidR="00B37B54">
        <w:t>e/o rid</w:t>
      </w:r>
      <w:r w:rsidR="00732C9E">
        <w:t>uzione del</w:t>
      </w:r>
      <w:r w:rsidR="00B37B54">
        <w:t>le aree pubbliche</w:t>
      </w:r>
      <w:r w:rsidR="00732C9E">
        <w:t xml:space="preserve"> e</w:t>
      </w:r>
      <w:r w:rsidR="00B37B54">
        <w:t xml:space="preserve"> affida esclusivamente alle conveni</w:t>
      </w:r>
      <w:r w:rsidR="00CA2993">
        <w:t>enze di mercato il loro destino</w:t>
      </w:r>
      <w:r w:rsidR="00B37B54">
        <w:t>, prescindendo totalmente da una valutazione sul loro contes</w:t>
      </w:r>
      <w:r w:rsidR="00373E8A">
        <w:t>to. Perciò ci sarà un’area B</w:t>
      </w:r>
      <w:bookmarkStart w:id="0" w:name="_GoBack"/>
      <w:bookmarkEnd w:id="0"/>
      <w:r w:rsidR="00CA2993">
        <w:t xml:space="preserve">10 </w:t>
      </w:r>
      <w:r w:rsidR="00B37B54">
        <w:t>non utilizzata perché fuori da combi</w:t>
      </w:r>
      <w:r w:rsidR="00CA2993">
        <w:t>nazioni commerciali e un’area (</w:t>
      </w:r>
      <w:r w:rsidR="00B37B54">
        <w:t>come questa) oggetto di pressioni</w:t>
      </w:r>
      <w:r w:rsidR="00732C9E">
        <w:t>. Il massimo degli effetti negativi: ingiustizia nei trattamenti e abolizione di aree pubbliche.</w:t>
      </w:r>
    </w:p>
    <w:p w:rsidR="00EC6D71" w:rsidRDefault="00732C9E" w:rsidP="00CA2993">
      <w:pPr>
        <w:spacing w:after="0"/>
        <w:jc w:val="both"/>
      </w:pPr>
      <w:r>
        <w:t xml:space="preserve">In questo contesto normativo in cui la pezza è peggiore del buco, si è scatenata la corsa al centro commerciale di media dimensione che sopperisce alla crisi degli </w:t>
      </w:r>
      <w:proofErr w:type="spellStart"/>
      <w:r>
        <w:t>Iper</w:t>
      </w:r>
      <w:proofErr w:type="spellEnd"/>
      <w:r>
        <w:t xml:space="preserve"> e dei Mega centri. Perciò ne chiedono dovunque in una guerra ancora in corso: a via Bologna un parcheggio coperto (!) diventa spazio commerciale a due </w:t>
      </w:r>
      <w:r w:rsidR="00F10560">
        <w:t xml:space="preserve">passi da un altro esistente ed </w:t>
      </w:r>
      <w:r>
        <w:t xml:space="preserve">a quattro passi </w:t>
      </w:r>
      <w:r w:rsidR="00CA2993">
        <w:t>da altri tre; ed anche questo (</w:t>
      </w:r>
      <w:r>
        <w:t xml:space="preserve">per il quale </w:t>
      </w:r>
      <w:r w:rsidRPr="00B11C80">
        <w:t xml:space="preserve">non </w:t>
      </w:r>
      <w:r w:rsidR="00FC316C" w:rsidRPr="00B11C80">
        <w:t xml:space="preserve">si </w:t>
      </w:r>
      <w:r w:rsidRPr="00B11C80">
        <w:t>h</w:t>
      </w:r>
      <w:r w:rsidR="00FC316C" w:rsidRPr="00B11C80">
        <w:t>a</w:t>
      </w:r>
      <w:r w:rsidRPr="00B11C80">
        <w:t xml:space="preserve"> nemmeno la v</w:t>
      </w:r>
      <w:r w:rsidR="00FC316C" w:rsidRPr="00B11C80">
        <w:t>e</w:t>
      </w:r>
      <w:r w:rsidR="0069668E" w:rsidRPr="00B11C80">
        <w:t xml:space="preserve">rgogna dell’immagine con cui </w:t>
      </w:r>
      <w:r w:rsidR="00EC6D71" w:rsidRPr="00B11C80">
        <w:t>vi</w:t>
      </w:r>
      <w:r w:rsidR="0069668E" w:rsidRPr="00B11C80">
        <w:t>e</w:t>
      </w:r>
      <w:r w:rsidR="00FC316C" w:rsidRPr="00B11C80">
        <w:t>ne</w:t>
      </w:r>
      <w:r w:rsidR="00EC6D71" w:rsidRPr="00B11C80">
        <w:t xml:space="preserve"> </w:t>
      </w:r>
      <w:r w:rsidR="00FC316C" w:rsidRPr="00B11C80">
        <w:t>reclamizzat</w:t>
      </w:r>
      <w:r w:rsidRPr="00B11C80">
        <w:t>o) è in</w:t>
      </w:r>
      <w:r>
        <w:t xml:space="preserve"> una zona molto servita.</w:t>
      </w:r>
    </w:p>
    <w:p w:rsidR="00CA2993" w:rsidRDefault="00732C9E" w:rsidP="00CA2993">
      <w:pPr>
        <w:spacing w:after="0"/>
        <w:jc w:val="both"/>
      </w:pPr>
      <w:r>
        <w:t xml:space="preserve">SIAMO ORMAI AL PUNTO IN CUI NESSUNA VALUTAZIONE DEL SITO SPECIFICO E’ TENUTA </w:t>
      </w:r>
      <w:r w:rsidR="00FC316C">
        <w:t>I</w:t>
      </w:r>
      <w:r>
        <w:t>N CONTO</w:t>
      </w:r>
      <w:r w:rsidR="000D3A33">
        <w:t xml:space="preserve"> ma soltanto una narrazione rispetto a: “diritt</w:t>
      </w:r>
      <w:r w:rsidR="00EC6D71">
        <w:t>i oggettivi da far valere”; a “</w:t>
      </w:r>
      <w:r w:rsidR="000D3A33">
        <w:t xml:space="preserve">favorire gli investimenti”; </w:t>
      </w:r>
      <w:proofErr w:type="gramStart"/>
      <w:r w:rsidR="000D3A33">
        <w:t>a</w:t>
      </w:r>
      <w:r w:rsidR="00B11C80">
        <w:t xml:space="preserve"> ”</w:t>
      </w:r>
      <w:r w:rsidR="000D3A33">
        <w:t>la</w:t>
      </w:r>
      <w:proofErr w:type="gramEnd"/>
      <w:r w:rsidR="000D3A33">
        <w:t xml:space="preserve"> libertà di impresa è sacra e vinca il più forte”.</w:t>
      </w:r>
    </w:p>
    <w:p w:rsidR="00FC316C" w:rsidRDefault="000D3A33" w:rsidP="00CA2993">
      <w:pPr>
        <w:spacing w:after="0"/>
        <w:jc w:val="both"/>
      </w:pPr>
      <w:r>
        <w:t xml:space="preserve"> Nessuna riflessione sulla rarità di quella ed altre aree rispetto a contesti </w:t>
      </w:r>
      <w:r w:rsidR="00E0348A">
        <w:t>che sono stati saturati di case</w:t>
      </w:r>
      <w:r>
        <w:t xml:space="preserve">, mentre pochi decenni fa erano aperta campagna ed oggi non hanno </w:t>
      </w:r>
      <w:r w:rsidR="009870F7" w:rsidRPr="00731C51">
        <w:t>nemmeno un giardino pubblico</w:t>
      </w:r>
      <w:r>
        <w:t>; nessuna attenzione alla impermeabilizzazione galoppante dei suoli</w:t>
      </w:r>
      <w:r w:rsidR="00FC316C">
        <w:t>,</w:t>
      </w:r>
      <w:r>
        <w:t xml:space="preserve"> cui anche questo intervento contribuirebbe; nessuna considerazione per il siste</w:t>
      </w:r>
      <w:r w:rsidR="00B11C80">
        <w:t xml:space="preserve">ma </w:t>
      </w:r>
      <w:r w:rsidR="00FC316C">
        <w:t>di deflusso delle acque che</w:t>
      </w:r>
      <w:r>
        <w:t>,</w:t>
      </w:r>
      <w:r w:rsidR="00FC316C">
        <w:t xml:space="preserve"> scorrendo in superficie</w:t>
      </w:r>
      <w:r w:rsidR="00B11C80">
        <w:t xml:space="preserve">, </w:t>
      </w:r>
      <w:r>
        <w:t>diventano canali come nella vicina via di Sotto.</w:t>
      </w:r>
    </w:p>
    <w:p w:rsidR="00731C51" w:rsidRDefault="000D3A33" w:rsidP="00CA2993">
      <w:pPr>
        <w:spacing w:after="0"/>
        <w:jc w:val="both"/>
      </w:pPr>
      <w:r>
        <w:t>Invece i temi sono questi e prevalgono di gran lunga sulle trite retoriche</w:t>
      </w:r>
      <w:r w:rsidR="00C6095F">
        <w:t xml:space="preserve"> di chi afferma di voler “sostenere lo sviluppo”; che nessuno vede perché non c’è e non si trova per</w:t>
      </w:r>
      <w:r w:rsidR="009870F7">
        <w:t xml:space="preserve"> </w:t>
      </w:r>
      <w:r w:rsidR="009870F7" w:rsidRPr="00731C51">
        <w:t>le</w:t>
      </w:r>
      <w:r w:rsidR="009870F7">
        <w:t xml:space="preserve"> </w:t>
      </w:r>
      <w:r w:rsidR="00C6095F">
        <w:t>vecchie strade del consumo di suolo.</w:t>
      </w:r>
    </w:p>
    <w:p w:rsidR="00FC316C" w:rsidRDefault="00C6095F" w:rsidP="00CA2993">
      <w:pPr>
        <w:spacing w:after="0"/>
        <w:jc w:val="both"/>
      </w:pPr>
      <w:r>
        <w:t>Italia Nostra ritiene che sia giunto il momento di arrestare questo continuo danneggiamento del territorio con interventi caso per caso come se fossero fatalità. Si deve invece:</w:t>
      </w:r>
    </w:p>
    <w:p w:rsidR="00FC316C" w:rsidRDefault="00C6095F" w:rsidP="00CA2993">
      <w:pPr>
        <w:spacing w:after="0"/>
        <w:jc w:val="both"/>
      </w:pPr>
      <w:r>
        <w:t xml:space="preserve">- fare un censimento di tutte le aree ancora libere dentro il perimetro urbano, quale che oggi sia la loro destinazione </w:t>
      </w:r>
      <w:proofErr w:type="gramStart"/>
      <w:r>
        <w:t>urbanistica</w:t>
      </w:r>
      <w:r w:rsidR="009870F7">
        <w:t xml:space="preserve"> </w:t>
      </w:r>
      <w:r>
        <w:t>.</w:t>
      </w:r>
      <w:proofErr w:type="gramEnd"/>
    </w:p>
    <w:p w:rsidR="00FC316C" w:rsidRDefault="00C6095F" w:rsidP="00CA2993">
      <w:pPr>
        <w:spacing w:after="0"/>
        <w:jc w:val="both"/>
      </w:pPr>
      <w:r>
        <w:t>- provvedere ad uno studio idrografico aggiornato al fine di favorire in ogni modo i sistemi naturali di deflusso</w:t>
      </w:r>
      <w:r>
        <w:br/>
        <w:t>- individuare ogni superficie</w:t>
      </w:r>
      <w:r w:rsidR="00FC316C">
        <w:t xml:space="preserve"> (</w:t>
      </w:r>
      <w:r>
        <w:t>piazzali, parcheggi, ecc.) asfaltate o cementate che possono essere decorticati per aumentare le superfici permeabili</w:t>
      </w:r>
    </w:p>
    <w:p w:rsidR="00EC6D71" w:rsidRDefault="00C6095F" w:rsidP="00CA2993">
      <w:pPr>
        <w:spacing w:after="0"/>
        <w:jc w:val="both"/>
      </w:pPr>
      <w:r>
        <w:t>- individuare le aree a verde e servizi sulla base di requisiti qualitativi e non meramente quantitativi (</w:t>
      </w:r>
      <w:r w:rsidR="00727DF7">
        <w:t>rifiutando striscioline di terreno, retro di palazzi ed altri ritagli come aree pubbliche</w:t>
      </w:r>
      <w:r w:rsidR="0069668E">
        <w:t>)</w:t>
      </w:r>
      <w:r w:rsidR="00727DF7">
        <w:t>.</w:t>
      </w:r>
    </w:p>
    <w:p w:rsidR="00731C51" w:rsidRPr="00731C51" w:rsidRDefault="00727DF7">
      <w:pPr>
        <w:spacing w:after="0"/>
        <w:jc w:val="both"/>
      </w:pPr>
      <w:r>
        <w:t xml:space="preserve"> Su questa base si potrà impostare una variante al PRG</w:t>
      </w:r>
      <w:r w:rsidR="0069668E">
        <w:t>,</w:t>
      </w:r>
      <w:r w:rsidR="00E0348A">
        <w:t xml:space="preserve"> volta </w:t>
      </w:r>
      <w:r>
        <w:t>a fare di Pescara una città permeabile alle piogge</w:t>
      </w:r>
      <w:r w:rsidR="009870F7">
        <w:t xml:space="preserve"> </w:t>
      </w:r>
      <w:r w:rsidR="00731C51">
        <w:t>(</w:t>
      </w:r>
      <w:r w:rsidR="009870F7" w:rsidRPr="00731C51">
        <w:t>realizzando così una delle principali caratteristiche della Resilienza)</w:t>
      </w:r>
      <w:r w:rsidRPr="00731C51">
        <w:t>;</w:t>
      </w:r>
      <w:r w:rsidRPr="009870F7">
        <w:rPr>
          <w:color w:val="FF0000"/>
        </w:rPr>
        <w:t xml:space="preserve"> </w:t>
      </w:r>
      <w:r>
        <w:t>tale variante potrà opportunamente integrarsi alla già proposta variante per il “sistema del verde urbano”</w:t>
      </w:r>
      <w:r w:rsidR="0069668E">
        <w:t>.</w:t>
      </w:r>
      <w:r w:rsidR="009870F7">
        <w:t xml:space="preserve"> </w:t>
      </w:r>
      <w:r w:rsidR="009870F7" w:rsidRPr="00731C51">
        <w:t>Insieme alla rete della nuova mobilità ed alla rete dei servizi</w:t>
      </w:r>
      <w:r w:rsidR="00555205" w:rsidRPr="00731C51">
        <w:t xml:space="preserve"> si costruirebbe così una delle tre gambe di una nuova stagione della pianificazione a Pescara.</w:t>
      </w:r>
    </w:p>
    <w:sectPr w:rsidR="00731C51" w:rsidRPr="00731C51" w:rsidSect="00731C5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C1311"/>
    <w:rsid w:val="000D3A33"/>
    <w:rsid w:val="002A714E"/>
    <w:rsid w:val="00373E8A"/>
    <w:rsid w:val="00555205"/>
    <w:rsid w:val="0069668E"/>
    <w:rsid w:val="00727DF7"/>
    <w:rsid w:val="00731C51"/>
    <w:rsid w:val="00732C9E"/>
    <w:rsid w:val="00775323"/>
    <w:rsid w:val="009870F7"/>
    <w:rsid w:val="00B11C80"/>
    <w:rsid w:val="00B37B54"/>
    <w:rsid w:val="00B70DF2"/>
    <w:rsid w:val="00C6095F"/>
    <w:rsid w:val="00CA2993"/>
    <w:rsid w:val="00E0348A"/>
    <w:rsid w:val="00EC6D71"/>
    <w:rsid w:val="00F10560"/>
    <w:rsid w:val="00FC1311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0440-0708-43B4-B1E3-FB220A3B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semiHidden/>
    <w:rsid w:val="00F1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">
    <w:name w:val="Data Carattere"/>
    <w:basedOn w:val="Carpredefinitoparagrafo"/>
    <w:link w:val="Data"/>
    <w:semiHidden/>
    <w:rsid w:val="00F10560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F105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cara@italianost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4</cp:revision>
  <dcterms:created xsi:type="dcterms:W3CDTF">2020-08-28T22:05:00Z</dcterms:created>
  <dcterms:modified xsi:type="dcterms:W3CDTF">2020-08-30T11:45:00Z</dcterms:modified>
</cp:coreProperties>
</file>