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93"/>
        <w:gridCol w:w="7115"/>
      </w:tblGrid>
      <w:tr>
        <w:tblPrEx>
          <w:shd w:val="clear" w:color="auto" w:fill="d0ddef"/>
        </w:tblPrEx>
        <w:trPr>
          <w:trHeight w:val="550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76" w:firstLine="0"/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Al Parco Nazionale del Cilento, Vallo di Diano e Alburni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"mailto:parco.cilentodianoealburni@pec.it"</w:instrText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parco.cilentodianoealburni@pec.it</w:t>
            </w:r>
            <w:r>
              <w:rPr>
                <w:rFonts w:ascii="Candara" w:cs="Candara" w:hAnsi="Candara" w:eastAsia="Candara"/>
                <w:sz w:val="28"/>
                <w:szCs w:val="28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Alla Soprintendenza di Salerno e Avellino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"mailto:sabap-sa@pec.cultura.gov.it"</w:instrText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sabap-sa@pec.cultura.gov.it</w:t>
            </w:r>
            <w:r>
              <w:rPr>
                <w:rFonts w:ascii="Candara" w:cs="Candara" w:hAnsi="Candara" w:eastAsia="Candara"/>
                <w:sz w:val="28"/>
                <w:szCs w:val="28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Al Ministero della Cultura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"mailto:udcm@pec.cultura.gov.it"</w:instrText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udcm@pec.cultura.gov.it</w:t>
            </w:r>
            <w:r>
              <w:rPr>
                <w:rFonts w:ascii="Candara" w:cs="Candara" w:hAnsi="Candara" w:eastAsia="Candara"/>
                <w:sz w:val="28"/>
                <w:szCs w:val="28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"mailto:dg-abap@pec.cultura.gov.it"</w:instrText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dg-abap@pec.cultura.gov.it</w:t>
            </w:r>
            <w:r>
              <w:rPr>
                <w:rFonts w:ascii="Candara" w:cs="Candara" w:hAnsi="Candara" w:eastAsia="Candara"/>
                <w:sz w:val="28"/>
                <w:szCs w:val="28"/>
              </w:rPr>
              <w:fldChar w:fldCharType="end" w:fldLock="0"/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al Ministero dell</w:t>
            </w:r>
            <w:r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Ambiente e della sicurezza energetica</w:t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14:textFill>
                  <w14:solidFill>
                    <w14:srgbClr w14:val="0563C1"/>
                  </w14:solidFill>
                </w14:textFill>
              </w:rPr>
            </w:pP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instrText xml:space="preserve"> HYPERLINK "mailto:segreteria.capogab@pec.minambiente.it"</w:instrText>
            </w: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lang w:val="it-IT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segreteria.capogab@pec.minambiente.it</w:t>
            </w:r>
            <w:r>
              <w:rPr>
                <w:rFonts w:ascii="Candara" w:cs="Candara" w:hAnsi="Candara" w:eastAsia="Candara"/>
                <w:outline w:val="0"/>
                <w:color w:val="0563c1"/>
                <w:sz w:val="28"/>
                <w:szCs w:val="28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Style w:val="Nessuno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14:textFill>
                  <w14:solidFill>
                    <w14:srgbClr w14:val="0563C1"/>
                  </w14:solidFill>
                </w14:textFill>
              </w:rPr>
            </w:pPr>
            <w:r>
              <w:rPr>
                <w:rStyle w:val="Nessuno"/>
                <w:outline w:val="0"/>
                <w:color w:val="0563c1"/>
                <w:sz w:val="28"/>
                <w:szCs w:val="28"/>
                <w:u w:val="single" w:color="0563c1"/>
                <w:shd w:val="nil" w:color="auto" w:fill="auto"/>
                <w:rtl w:val="0"/>
                <w:lang w:val="it-IT"/>
                <w14:textFill>
                  <w14:solidFill>
                    <w14:srgbClr w14:val="0563C1"/>
                  </w14:solidFill>
                </w14:textFill>
              </w:rPr>
              <w:t>Diss@Pec.Mite.Gov.it</w:t>
            </w:r>
          </w:p>
          <w:p>
            <w:pPr>
              <w:pStyle w:val="Normal.0"/>
              <w:spacing w:after="0" w:line="240" w:lineRule="auto"/>
              <w:ind w:left="176" w:firstLine="0"/>
              <w:rPr>
                <w:rStyle w:val="Hyperlink.2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176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ndara" w:cs="Candara" w:hAnsi="Candara" w:eastAsia="Candara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ai GIORNALI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spacing w:after="0" w:line="240" w:lineRule="auto"/>
        <w:ind w:left="4253" w:firstLine="0"/>
        <w:rPr>
          <w:rStyle w:val="Nessuno"/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essuno"/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OGGETTO: Demolizione costone roccioso sulla strada tra Marina di Camerota (SA) e Palinuro.</w:t>
      </w:r>
    </w:p>
    <w:p>
      <w:pPr>
        <w:pStyle w:val="Normal.0"/>
        <w:spacing w:after="0" w:line="240" w:lineRule="auto"/>
        <w:jc w:val="both"/>
        <w:rPr>
          <w:rStyle w:val="Nessuno"/>
          <w:rFonts w:ascii="Candara" w:cs="Candara" w:hAnsi="Candara" w:eastAsia="Candara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Incredulit</w:t>
      </w:r>
      <w:r>
        <w:rPr>
          <w:rStyle w:val="Nessuno"/>
          <w:rFonts w:ascii="Cambria" w:hAnsi="Cambria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Style w:val="Nessuno"/>
          <w:rFonts w:ascii="Cambria" w:hAnsi="Cambria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sdegno, rabbia: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queste le parole che d</w:t>
      </w:r>
      <w:r>
        <w:rPr>
          <w:rStyle w:val="Nessuno"/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impulso partono dal cuore e dalla mente a guardare le foto dei droni che inquadrano impietosamente quel costone demolito, uno degli angoli pi</w:t>
      </w:r>
      <w:r>
        <w:rPr>
          <w:rStyle w:val="Nessuno"/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suggestivi della strada tra Palinuro e Marina di Camerota.</w:t>
      </w:r>
    </w:p>
    <w:p>
      <w:pPr>
        <w:pStyle w:val="Normal.0"/>
        <w:widowControl w:val="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possiamo credere che un progetto di sicurezza possa raggiungere simili impatti ambientali e paesaggistici.</w:t>
      </w:r>
    </w:p>
    <w:p>
      <w:pPr>
        <w:pStyle w:val="Normal.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 mettere in sicurezza la strada del Mingardo significa asportare le rocce, allora dobbiamo fermarci.</w:t>
      </w:r>
    </w:p>
    <w:p>
      <w:pPr>
        <w:pStyle w:val="Normal.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Italia Nostra proceder</w:t>
      </w:r>
      <w:r>
        <w:rPr>
          <w:rStyle w:val="Nessuno"/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 richiedere gli atti delle autorizzazioni paesaggistiche, ambientali e territoriali rilasciate a questo intervento di sicurezza che si sta realizzando nel cuore del Parco Nazionale del Cilento, Vallo di Diano e Alburni, in zona ambientale di interesse comunitario [SIC </w:t>
      </w:r>
      <w:r>
        <w:rPr>
          <w:rStyle w:val="Nessuno"/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Pareti rocciose di Cala del Cefalo</w:t>
      </w:r>
      <w:r>
        <w:rPr>
          <w:rStyle w:val="Nessuno"/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(Cod.IT8050038)], nonch</w:t>
      </w:r>
      <w:r>
        <w:rPr>
          <w:rStyle w:val="Nessuno"/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area sottoposta a vincolo paesaggistico.</w:t>
      </w:r>
    </w:p>
    <w:p>
      <w:pPr>
        <w:pStyle w:val="Normal.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Vogliamo capire se sono state rispettate tutte le procedure e le regole, se non erano percorribili altre soluzioni meno impattanti, quali erano i rischi conclamati, e se sono previste altre demolizioni.</w:t>
      </w:r>
    </w:p>
    <w:p>
      <w:pPr>
        <w:pStyle w:val="Normal.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Cambria" w:cs="Cambria" w:hAnsi="Cambria" w:eastAsia="Cambria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vorremo che in nome di una strada sicura si arrivi a cancellare un tratto del Cilento, un costone di falesia, dove nasce la Primula palinuri Petagna,</w:t>
      </w:r>
      <w:r>
        <w:rPr>
          <w:rStyle w:val="Nessuno"/>
          <w:rFonts w:ascii="Times New Roman" w:hAnsi="Times New Roman"/>
          <w:outline w:val="0"/>
          <w:color w:val="000000"/>
          <w:spacing w:val="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simbolo del Parco, altrimenti meglio tracciare un</w:t>
      </w:r>
      <w:r>
        <w:rPr>
          <w:rStyle w:val="Nessuno"/>
          <w:rFonts w:ascii="Cambria" w:hAnsi="Cambria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Cambria" w:hAnsi="Cambria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altra strada.</w:t>
      </w:r>
    </w:p>
    <w:p>
      <w:pPr>
        <w:pStyle w:val="Normal.0"/>
        <w:jc w:val="both"/>
        <w:rPr>
          <w:rStyle w:val="Nessuno"/>
          <w:rFonts w:ascii="Candara" w:cs="Candara" w:hAnsi="Candara" w:eastAsia="Candara"/>
          <w:sz w:val="28"/>
          <w:szCs w:val="28"/>
        </w:rPr>
      </w:pPr>
      <w:r>
        <w:rPr>
          <w:rStyle w:val="Nessuno"/>
          <w:rFonts w:ascii="Candara" w:cs="Candara" w:hAnsi="Candara" w:eastAsia="Candara"/>
          <w:sz w:val="28"/>
          <w:szCs w:val="28"/>
          <w:rtl w:val="0"/>
          <w:lang w:val="it-IT"/>
        </w:rPr>
        <w:t>Montesano, 16 marzo 2023</w:t>
      </w:r>
    </w:p>
    <w:p>
      <w:pPr>
        <w:pStyle w:val="Normal.0"/>
        <w:jc w:val="both"/>
        <w:rPr>
          <w:rStyle w:val="Nessuno"/>
          <w:rFonts w:ascii="Candara" w:cs="Candara" w:hAnsi="Candara" w:eastAsia="Candara"/>
          <w:sz w:val="28"/>
          <w:szCs w:val="28"/>
        </w:rPr>
      </w:pPr>
      <w:r>
        <w:rPr>
          <w:rStyle w:val="Nessuno"/>
          <w:rFonts w:ascii="Candara" w:cs="Candara" w:hAnsi="Candara" w:eastAsia="Candara"/>
          <w:sz w:val="28"/>
          <w:szCs w:val="28"/>
          <w:rtl w:val="0"/>
          <w:lang w:val="it-IT"/>
        </w:rPr>
        <w:t>Arch. Teresa Rotella, Presidente sezione Cilento-Lucano di Italia Nostra</w:t>
      </w:r>
    </w:p>
    <w:p>
      <w:pPr>
        <w:pStyle w:val="Normal.0"/>
        <w:jc w:val="both"/>
      </w:pPr>
      <w:r>
        <w:rPr>
          <w:rStyle w:val="Nessuno"/>
          <w:rFonts w:ascii="Candara" w:cs="Candara" w:hAnsi="Candara" w:eastAsia="Candara"/>
          <w:sz w:val="28"/>
          <w:szCs w:val="28"/>
        </w:rPr>
        <w:drawing xmlns:a="http://schemas.openxmlformats.org/drawingml/2006/main">
          <wp:inline distT="0" distB="0" distL="0" distR="0">
            <wp:extent cx="1273800" cy="388757"/>
            <wp:effectExtent l="0" t="0" r="0" b="0"/>
            <wp:docPr id="1073741826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00" cy="388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2127" w:right="1558" w:bottom="184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188"/>
        <w:tab w:val="clear" w:pos="9638"/>
      </w:tabs>
      <w:jc w:val="center"/>
      <w:rPr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hAnsi="Times New Roman"/>
        <w:sz w:val="20"/>
        <w:szCs w:val="20"/>
        <w:rtl w:val="0"/>
        <w:lang w:val="it-IT"/>
      </w:rPr>
      <w:t xml:space="preserve">Sede Nazionale </w:t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– </w:t>
    </w:r>
    <w:r>
      <w:rPr>
        <w:rFonts w:ascii="Times New Roman" w:hAnsi="Times New Roman"/>
        <w:sz w:val="20"/>
        <w:szCs w:val="20"/>
        <w:rtl w:val="0"/>
        <w:lang w:val="it-IT"/>
      </w:rPr>
      <w:t xml:space="preserve">Viale Liegi, 33  00198 Roma </w:t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– </w:t>
    </w:r>
  </w:p>
  <w:p>
    <w:pPr>
      <w:pStyle w:val="footer"/>
      <w:tabs>
        <w:tab w:val="right" w:pos="9188"/>
        <w:tab w:val="clear" w:pos="9638"/>
      </w:tabs>
      <w:jc w:val="center"/>
      <w:rPr>
        <w:rStyle w:val="Nessuno"/>
        <w:rFonts w:ascii="Times New Roman" w:cs="Times New Roman" w:hAnsi="Times New Roman" w:eastAsia="Times New Roman"/>
        <w:sz w:val="20"/>
        <w:szCs w:val="20"/>
      </w:rPr>
    </w:pPr>
    <w:r>
      <w:rPr>
        <w:rFonts w:ascii="Times New Roman" w:hAnsi="Times New Roman"/>
        <w:sz w:val="20"/>
        <w:szCs w:val="20"/>
        <w:rtl w:val="0"/>
        <w:lang w:val="it-IT"/>
      </w:rPr>
      <w:t xml:space="preserve">C.F. 80078410588  P.IVA 02121101006 </w:t>
    </w:r>
    <w:r>
      <w:rPr>
        <w:rFonts w:ascii="Times New Roman" w:hAnsi="Times New Roman" w:hint="default"/>
        <w:sz w:val="20"/>
        <w:szCs w:val="20"/>
        <w:rtl w:val="0"/>
        <w:lang w:val="it-IT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"mailto:info@italianostra.org"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info@italianostra.org</w:t>
    </w:r>
    <w:r>
      <w:rPr/>
      <w:fldChar w:fldCharType="end" w:fldLock="0"/>
    </w:r>
    <w:r>
      <w:rPr>
        <w:rStyle w:val="Nessuno"/>
        <w:rFonts w:ascii="Times New Roman" w:hAnsi="Times New Roman" w:hint="default"/>
        <w:sz w:val="20"/>
        <w:szCs w:val="20"/>
        <w:rtl w:val="0"/>
        <w:lang w:val="it-IT"/>
      </w:rPr>
      <w:t xml:space="preserve"> 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"http://www.italianostra.org"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www.italianostra.org</w:t>
    </w:r>
    <w:r>
      <w:rPr/>
      <w:fldChar w:fldCharType="end" w:fldLock="0"/>
    </w:r>
  </w:p>
  <w:p>
    <w:pPr>
      <w:pStyle w:val="footer"/>
      <w:tabs>
        <w:tab w:val="right" w:pos="9188"/>
        <w:tab w:val="clear" w:pos="9638"/>
      </w:tabs>
      <w:jc w:val="center"/>
      <w:rPr>
        <w:rStyle w:val="Nessuno"/>
        <w:rFonts w:ascii="Times New Roman" w:cs="Times New Roman" w:hAnsi="Times New Roman" w:eastAsia="Times New Roman"/>
        <w:sz w:val="20"/>
        <w:szCs w:val="20"/>
      </w:rPr>
    </w:pPr>
    <w:r>
      <w:rPr>
        <w:rStyle w:val="Nessuno"/>
        <w:rFonts w:ascii="Times New Roman" w:hAnsi="Times New Roman"/>
        <w:sz w:val="20"/>
        <w:szCs w:val="20"/>
        <w:rtl w:val="0"/>
        <w:lang w:val="it-IT"/>
      </w:rPr>
      <w:t xml:space="preserve">Sezione Cilento-Lucano </w:t>
    </w:r>
    <w:r>
      <w:rPr>
        <w:rStyle w:val="Nessuno"/>
        <w:rFonts w:ascii="Times New Roman" w:hAnsi="Times New Roman" w:hint="default"/>
        <w:sz w:val="20"/>
        <w:szCs w:val="20"/>
        <w:rtl w:val="0"/>
        <w:lang w:val="it-IT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"mailto:cilentolucano@italianostra.org"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cilentolucano@italianostra.org</w:t>
    </w:r>
    <w:r>
      <w:rPr/>
      <w:fldChar w:fldCharType="end" w:fldLock="0"/>
    </w:r>
  </w:p>
  <w:p>
    <w:pPr>
      <w:pStyle w:val="footer"/>
      <w:tabs>
        <w:tab w:val="right" w:pos="9188"/>
        <w:tab w:val="clear" w:pos="9638"/>
      </w:tabs>
      <w:jc w:val="center"/>
    </w:pPr>
    <w:r>
      <w:rPr>
        <w:rStyle w:val="Nessuno"/>
      </w:rPr>
      <w:fldChar w:fldCharType="begin" w:fldLock="0"/>
    </w:r>
    <w:r>
      <w:rPr>
        <w:rStyle w:val="Nessuno"/>
      </w:rPr>
      <w:instrText xml:space="preserve"> PAGE </w:instrText>
    </w:r>
    <w:r>
      <w:rPr>
        <w:rStyle w:val="Nessuno"/>
      </w:rPr>
      <w:fldChar w:fldCharType="separate" w:fldLock="0"/>
    </w:r>
    <w:r>
      <w:rPr>
        <w:rStyle w:val="Nessuno"/>
      </w:rPr>
    </w:r>
    <w:r>
      <w:rPr>
        <w:rStyle w:val="Nessuno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188"/>
        <w:tab w:val="clear" w:pos="9638"/>
      </w:tabs>
      <w:jc w:val="right"/>
    </w:pPr>
    <w:r>
      <w:rPr>
        <w:sz w:val="28"/>
        <w:szCs w:val="28"/>
      </w:rPr>
      <w:drawing xmlns:a="http://schemas.openxmlformats.org/drawingml/2006/main">
        <wp:inline distT="0" distB="0" distL="0" distR="0">
          <wp:extent cx="1866900" cy="999084"/>
          <wp:effectExtent l="0" t="0" r="0" b="0"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99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spacing w:after="0" w:line="240" w:lineRule="auto"/>
      <w:ind w:left="176" w:firstLine="0"/>
      <w:jc w:val="right"/>
      <w:rPr>
        <w:rFonts w:ascii="Candara" w:cs="Candara" w:hAnsi="Candara" w:eastAsia="Candara"/>
        <w:outline w:val="0"/>
        <w:color w:val="ff0000"/>
        <w:u w:color="ff0000"/>
        <w14:textFill>
          <w14:solidFill>
            <w14:srgbClr w14:val="FF0000"/>
          </w14:solidFill>
        </w14:textFill>
      </w:rPr>
    </w:pPr>
    <w:r>
      <w:rPr>
        <w:rFonts w:ascii="Candara" w:cs="Candara" w:hAnsi="Candara" w:eastAsia="Candara"/>
        <w:outline w:val="0"/>
        <w:color w:val="ff0000"/>
        <w:u w:color="ff0000"/>
        <w:rtl w:val="0"/>
        <w:lang w:val="it-IT"/>
        <w14:textFill>
          <w14:solidFill>
            <w14:srgbClr w14:val="FF0000"/>
          </w14:solidFill>
        </w14:textFill>
      </w:rPr>
      <w:t>Associazione Nazionale per la tutela</w:t>
    </w:r>
  </w:p>
  <w:p>
    <w:pPr>
      <w:pStyle w:val="Normal.0"/>
      <w:spacing w:after="0"/>
      <w:ind w:left="176" w:firstLine="0"/>
      <w:jc w:val="right"/>
      <w:rPr>
        <w:rFonts w:ascii="Candara" w:cs="Candara" w:hAnsi="Candara" w:eastAsia="Candara"/>
        <w:outline w:val="0"/>
        <w:color w:val="ff0000"/>
        <w:u w:color="ff0000"/>
        <w14:textFill>
          <w14:solidFill>
            <w14:srgbClr w14:val="FF0000"/>
          </w14:solidFill>
        </w14:textFill>
      </w:rPr>
    </w:pPr>
    <w:r>
      <w:rPr>
        <w:rFonts w:ascii="Candara" w:cs="Candara" w:hAnsi="Candara" w:eastAsia="Candara"/>
        <w:outline w:val="0"/>
        <w:color w:val="ff0000"/>
        <w:u w:color="ff0000"/>
        <w:rtl w:val="0"/>
        <w:lang w:val="it-IT"/>
        <w14:textFill>
          <w14:solidFill>
            <w14:srgbClr w14:val="FF0000"/>
          </w14:solidFill>
        </w14:textFill>
      </w:rPr>
      <w:t xml:space="preserve"> del Patrimonio Storico, Artistico e Naturale della Nazione</w:t>
    </w:r>
  </w:p>
  <w:p>
    <w:pPr>
      <w:pStyle w:val="Normal.0"/>
      <w:ind w:left="176" w:firstLine="0"/>
      <w:jc w:val="right"/>
    </w:pPr>
    <w:r>
      <w:rPr>
        <w:rFonts w:ascii="Candara" w:cs="Candara" w:hAnsi="Candara" w:eastAsia="Candara"/>
        <w:b w:val="1"/>
        <w:bCs w:val="1"/>
        <w:outline w:val="0"/>
        <w:color w:val="ff0000"/>
        <w:u w:val="single" w:color="ff0000"/>
        <w:rtl w:val="0"/>
        <w:lang w:val="it-IT"/>
        <w14:textFill>
          <w14:solidFill>
            <w14:srgbClr w14:val="FF0000"/>
          </w14:solidFill>
        </w14:textFill>
      </w:rPr>
      <w:t>SEZIONE CILENTO-LUCANO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563c1"/>
      <w:u w:val="single" w:color="0563c1"/>
      <w:shd w:val="nil" w:color="auto" w:fill="auto"/>
      <w:lang w:val="it-IT"/>
      <w14:textFill>
        <w14:solidFill>
          <w14:srgbClr w14:val="0563C1"/>
        </w14:solidFill>
      </w14:textFill>
    </w:rPr>
  </w:style>
  <w:style w:type="character" w:styleId="Hyperlink.2">
    <w:name w:val="Hyperlink.2"/>
    <w:basedOn w:val="Nessuno"/>
    <w:next w:val="Hyperlink.2"/>
    <w:rPr>
      <w:shd w:val="nil" w:color="auto" w:fill="auto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